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36D5" w14:textId="77777777" w:rsidR="000F319B" w:rsidRDefault="00000000">
      <w:pPr>
        <w:ind w:left="1984"/>
        <w:jc w:val="both"/>
        <w:rPr>
          <w:i/>
          <w:iCs/>
          <w:sz w:val="22"/>
          <w:szCs w:val="22"/>
        </w:rPr>
      </w:pPr>
      <w:r>
        <w:rPr>
          <w:i/>
          <w:iCs/>
          <w:sz w:val="22"/>
          <w:szCs w:val="22"/>
        </w:rPr>
        <w:t>Comunicato Stampa</w:t>
      </w:r>
      <w:bookmarkStart w:id="0" w:name="OLE_LINK1"/>
    </w:p>
    <w:bookmarkEnd w:id="0"/>
    <w:p w14:paraId="5814435F" w14:textId="77777777" w:rsidR="000F319B" w:rsidRDefault="000F319B">
      <w:pPr>
        <w:ind w:left="1984"/>
        <w:jc w:val="both"/>
        <w:rPr>
          <w:i/>
          <w:iCs/>
          <w:sz w:val="10"/>
          <w:szCs w:val="10"/>
        </w:rPr>
      </w:pPr>
    </w:p>
    <w:p w14:paraId="13DA475F" w14:textId="77777777" w:rsidR="00E36ED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hAnsi="Times New Roman"/>
          <w:b/>
          <w:bCs/>
          <w:sz w:val="26"/>
          <w:szCs w:val="26"/>
        </w:rPr>
      </w:pPr>
      <w:bookmarkStart w:id="1" w:name="OLE_LINK3"/>
      <w:r w:rsidRPr="00E36ED6">
        <w:rPr>
          <w:rFonts w:ascii="Times New Roman" w:hAnsi="Times New Roman"/>
          <w:b/>
          <w:bCs/>
          <w:sz w:val="26"/>
          <w:szCs w:val="26"/>
        </w:rPr>
        <w:t xml:space="preserve">Macchine e tecnologie forestali: </w:t>
      </w:r>
    </w:p>
    <w:p w14:paraId="1C6983FB" w14:textId="144E1DCF" w:rsidR="000F319B" w:rsidRPr="00E36ED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b/>
          <w:bCs/>
          <w:sz w:val="26"/>
          <w:szCs w:val="26"/>
        </w:rPr>
      </w:pPr>
      <w:r w:rsidRPr="00E36ED6">
        <w:rPr>
          <w:rFonts w:ascii="Times New Roman" w:hAnsi="Times New Roman"/>
          <w:b/>
          <w:bCs/>
          <w:sz w:val="26"/>
          <w:szCs w:val="26"/>
        </w:rPr>
        <w:t xml:space="preserve">FUTA EXPO debutta a Barberino di Mugello </w:t>
      </w:r>
    </w:p>
    <w:p w14:paraId="16F90050" w14:textId="37F0D1B1" w:rsidR="000F319B" w:rsidRPr="00E36ED6" w:rsidRDefault="000F31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b/>
          <w:bCs/>
          <w:sz w:val="10"/>
          <w:szCs w:val="10"/>
        </w:rPr>
      </w:pPr>
    </w:p>
    <w:p w14:paraId="698DC584" w14:textId="77777777" w:rsidR="000F319B" w:rsidRPr="00E36ED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b/>
          <w:bCs/>
          <w:i/>
          <w:iCs/>
          <w:sz w:val="26"/>
          <w:szCs w:val="26"/>
        </w:rPr>
      </w:pPr>
      <w:r w:rsidRPr="00E36ED6">
        <w:rPr>
          <w:rFonts w:ascii="Times New Roman" w:hAnsi="Times New Roman"/>
          <w:b/>
          <w:bCs/>
          <w:i/>
          <w:iCs/>
          <w:sz w:val="26"/>
          <w:szCs w:val="26"/>
        </w:rPr>
        <w:t>Prove in campo e workshop di natura tecnica e divulgativa al centro della tre giorni toscana. Alla manifestazione hanno aderito 80 case costruttrici. Gli organizzatori di Itabia: per l</w:t>
      </w:r>
      <w:r w:rsidRPr="00E36ED6">
        <w:rPr>
          <w:rFonts w:ascii="Times New Roman" w:hAnsi="Times New Roman"/>
          <w:b/>
          <w:bCs/>
          <w:i/>
          <w:iCs/>
          <w:sz w:val="26"/>
          <w:szCs w:val="26"/>
          <w:rtl/>
        </w:rPr>
        <w:t>’</w:t>
      </w:r>
      <w:r w:rsidRPr="00E36ED6">
        <w:rPr>
          <w:rFonts w:ascii="Times New Roman" w:hAnsi="Times New Roman"/>
          <w:b/>
          <w:bCs/>
          <w:i/>
          <w:iCs/>
          <w:sz w:val="26"/>
          <w:szCs w:val="26"/>
        </w:rPr>
        <w:t>Italia l</w:t>
      </w:r>
      <w:r w:rsidRPr="00E36ED6">
        <w:rPr>
          <w:rFonts w:ascii="Times New Roman" w:hAnsi="Times New Roman"/>
          <w:b/>
          <w:bCs/>
          <w:i/>
          <w:iCs/>
          <w:sz w:val="26"/>
          <w:szCs w:val="26"/>
          <w:rtl/>
        </w:rPr>
        <w:t>’</w:t>
      </w:r>
      <w:r w:rsidRPr="00E36ED6">
        <w:rPr>
          <w:rFonts w:ascii="Times New Roman" w:hAnsi="Times New Roman"/>
          <w:b/>
          <w:bCs/>
          <w:i/>
          <w:iCs/>
          <w:sz w:val="26"/>
          <w:szCs w:val="26"/>
        </w:rPr>
        <w:t xml:space="preserve">evento di FUTA EXPO è un presidio strategico per tutte le attività legate </w:t>
      </w:r>
      <w:proofErr w:type="spellStart"/>
      <w:r w:rsidRPr="00E36ED6">
        <w:rPr>
          <w:rFonts w:ascii="Times New Roman" w:hAnsi="Times New Roman"/>
          <w:b/>
          <w:bCs/>
          <w:i/>
          <w:iCs/>
          <w:sz w:val="26"/>
          <w:szCs w:val="26"/>
        </w:rPr>
        <w:t>all</w:t>
      </w:r>
      <w:proofErr w:type="spellEnd"/>
      <w:r w:rsidRPr="00E36ED6">
        <w:rPr>
          <w:rFonts w:ascii="Times New Roman" w:hAnsi="Times New Roman"/>
          <w:b/>
          <w:bCs/>
          <w:i/>
          <w:iCs/>
          <w:sz w:val="26"/>
          <w:szCs w:val="26"/>
          <w:rtl/>
        </w:rPr>
        <w:t>’</w:t>
      </w:r>
      <w:r w:rsidRPr="00E36ED6">
        <w:rPr>
          <w:rFonts w:ascii="Times New Roman" w:hAnsi="Times New Roman"/>
          <w:b/>
          <w:bCs/>
          <w:i/>
          <w:iCs/>
          <w:sz w:val="26"/>
          <w:szCs w:val="26"/>
        </w:rPr>
        <w:t xml:space="preserve">economia forestale e alla gestione sostenibile della </w:t>
      </w:r>
      <w:r w:rsidRPr="00E36ED6">
        <w:rPr>
          <w:rFonts w:ascii="Times New Roman" w:hAnsi="Times New Roman"/>
          <w:b/>
          <w:bCs/>
          <w:i/>
          <w:iCs/>
          <w:sz w:val="26"/>
          <w:szCs w:val="26"/>
          <w:rtl/>
          <w:lang w:val="ar-SA"/>
        </w:rPr>
        <w:t>“</w:t>
      </w:r>
      <w:r w:rsidRPr="00E36ED6">
        <w:rPr>
          <w:rFonts w:ascii="Times New Roman" w:hAnsi="Times New Roman"/>
          <w:b/>
          <w:bCs/>
          <w:i/>
          <w:iCs/>
          <w:sz w:val="26"/>
          <w:szCs w:val="26"/>
        </w:rPr>
        <w:t>risorsa bosco”.</w:t>
      </w:r>
    </w:p>
    <w:p w14:paraId="7EDF4B97" w14:textId="2CA94666" w:rsidR="000F319B" w:rsidRPr="00E36ED6" w:rsidRDefault="000F31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b/>
          <w:bCs/>
          <w:i/>
          <w:iCs/>
          <w:sz w:val="10"/>
          <w:szCs w:val="10"/>
        </w:rPr>
      </w:pPr>
    </w:p>
    <w:p w14:paraId="5763DC9C" w14:textId="77777777" w:rsidR="000F319B" w:rsidRPr="00E36ED6"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sz w:val="26"/>
          <w:szCs w:val="26"/>
        </w:rPr>
      </w:pPr>
      <w:r w:rsidRPr="00E36ED6">
        <w:rPr>
          <w:rFonts w:ascii="Times New Roman" w:hAnsi="Times New Roman"/>
          <w:sz w:val="26"/>
          <w:szCs w:val="26"/>
        </w:rPr>
        <w:t>E</w:t>
      </w:r>
      <w:r w:rsidRPr="00E36ED6">
        <w:rPr>
          <w:rFonts w:ascii="Times New Roman" w:hAnsi="Times New Roman"/>
          <w:sz w:val="26"/>
          <w:szCs w:val="26"/>
          <w:rtl/>
        </w:rPr>
        <w:t xml:space="preserve">’ </w:t>
      </w:r>
      <w:r w:rsidRPr="00E36ED6">
        <w:rPr>
          <w:rFonts w:ascii="Times New Roman" w:hAnsi="Times New Roman"/>
          <w:sz w:val="26"/>
          <w:szCs w:val="26"/>
        </w:rPr>
        <w:t>in pieno svolgimento a Barberino di Mugello la seconda giornata di FUTA EXPO, l</w:t>
      </w:r>
      <w:r w:rsidRPr="00E36ED6">
        <w:rPr>
          <w:rFonts w:ascii="Times New Roman" w:hAnsi="Times New Roman"/>
          <w:sz w:val="26"/>
          <w:szCs w:val="26"/>
          <w:rtl/>
        </w:rPr>
        <w:t>’</w:t>
      </w:r>
      <w:r w:rsidRPr="00E36ED6">
        <w:rPr>
          <w:rFonts w:ascii="Times New Roman" w:hAnsi="Times New Roman"/>
          <w:sz w:val="26"/>
          <w:szCs w:val="26"/>
        </w:rPr>
        <w:t>evento dedicato alle attività forestali, organizzato da ITABIA in collaborazione con il CNR-IBE (Istituto per la bioeconomia) e con FederUnacoma. L</w:t>
      </w:r>
      <w:r w:rsidRPr="00E36ED6">
        <w:rPr>
          <w:rFonts w:ascii="Times New Roman" w:hAnsi="Times New Roman"/>
          <w:sz w:val="26"/>
          <w:szCs w:val="26"/>
          <w:rtl/>
        </w:rPr>
        <w:t>’</w:t>
      </w:r>
      <w:r w:rsidRPr="00E36ED6">
        <w:rPr>
          <w:rFonts w:ascii="Times New Roman" w:hAnsi="Times New Roman"/>
          <w:sz w:val="26"/>
          <w:szCs w:val="26"/>
        </w:rPr>
        <w:t>evento si articola nei tre giorni dal 4 al 6 luglio e si svolge presso l</w:t>
      </w:r>
      <w:r w:rsidRPr="00E36ED6">
        <w:rPr>
          <w:rFonts w:ascii="Times New Roman" w:hAnsi="Times New Roman"/>
          <w:sz w:val="26"/>
          <w:szCs w:val="26"/>
          <w:rtl/>
        </w:rPr>
        <w:t>’</w:t>
      </w:r>
      <w:r w:rsidRPr="00E36ED6">
        <w:rPr>
          <w:rFonts w:ascii="Times New Roman" w:hAnsi="Times New Roman"/>
          <w:sz w:val="26"/>
          <w:szCs w:val="26"/>
        </w:rPr>
        <w:t xml:space="preserve">azienda </w:t>
      </w:r>
      <w:r w:rsidRPr="00E36ED6">
        <w:rPr>
          <w:rFonts w:ascii="Times New Roman" w:hAnsi="Times New Roman"/>
          <w:sz w:val="26"/>
          <w:szCs w:val="26"/>
          <w:rtl/>
          <w:lang w:val="ar-SA"/>
        </w:rPr>
        <w:t>“</w:t>
      </w:r>
      <w:r w:rsidRPr="00E36ED6">
        <w:rPr>
          <w:rFonts w:ascii="Times New Roman" w:hAnsi="Times New Roman"/>
          <w:sz w:val="26"/>
          <w:szCs w:val="26"/>
        </w:rPr>
        <w:t xml:space="preserve">La Dogana”. Buona la partecipazione di pubblico nella giornata di ieri, che ha offerto ai visitatori molte tipologie di cantiere forestale con decine di macchine e dispositivi tecnici al lavoro, per mostrare i nuovi standard e i requisiti di sostenibilità nelle operazioni di taglio, di pulitura, di reimpianto nelle aree forestali. Il corretto e razionale sfruttamento delle risorse forestali dipende infatti </w:t>
      </w:r>
      <w:proofErr w:type="spellStart"/>
      <w:r w:rsidRPr="00E36ED6">
        <w:rPr>
          <w:rFonts w:ascii="Times New Roman" w:hAnsi="Times New Roman"/>
          <w:sz w:val="26"/>
          <w:szCs w:val="26"/>
        </w:rPr>
        <w:t>dall</w:t>
      </w:r>
      <w:proofErr w:type="spellEnd"/>
      <w:r w:rsidRPr="00E36ED6">
        <w:rPr>
          <w:rFonts w:ascii="Times New Roman" w:hAnsi="Times New Roman"/>
          <w:sz w:val="26"/>
          <w:szCs w:val="26"/>
          <w:rtl/>
        </w:rPr>
        <w:t>’</w:t>
      </w:r>
      <w:r w:rsidRPr="00E36ED6">
        <w:rPr>
          <w:rFonts w:ascii="Times New Roman" w:hAnsi="Times New Roman"/>
          <w:sz w:val="26"/>
          <w:szCs w:val="26"/>
        </w:rPr>
        <w:t xml:space="preserve">impiego delle più avanzate tecnologie meccaniche, che oggi permettono di ridurre i costi massimizzando la produzione nel pieno rispetto </w:t>
      </w:r>
      <w:proofErr w:type="spellStart"/>
      <w:r w:rsidRPr="00E36ED6">
        <w:rPr>
          <w:rFonts w:ascii="Times New Roman" w:hAnsi="Times New Roman"/>
          <w:sz w:val="26"/>
          <w:szCs w:val="26"/>
        </w:rPr>
        <w:t>dell</w:t>
      </w:r>
      <w:proofErr w:type="spellEnd"/>
      <w:r w:rsidRPr="00E36ED6">
        <w:rPr>
          <w:rFonts w:ascii="Times New Roman" w:hAnsi="Times New Roman"/>
          <w:sz w:val="26"/>
          <w:szCs w:val="26"/>
          <w:rtl/>
        </w:rPr>
        <w:t>’</w:t>
      </w:r>
      <w:r w:rsidRPr="00E36ED6">
        <w:rPr>
          <w:rFonts w:ascii="Times New Roman" w:hAnsi="Times New Roman"/>
          <w:sz w:val="26"/>
          <w:szCs w:val="26"/>
        </w:rPr>
        <w:t>ambiente. La prima edizione della rassegna FUTA EXPO è stata concepita proprio per presentare l</w:t>
      </w:r>
      <w:r w:rsidRPr="00E36ED6">
        <w:rPr>
          <w:rFonts w:ascii="Times New Roman" w:hAnsi="Times New Roman"/>
          <w:sz w:val="26"/>
          <w:szCs w:val="26"/>
          <w:rtl/>
        </w:rPr>
        <w:t>’</w:t>
      </w:r>
      <w:r w:rsidRPr="00E36ED6">
        <w:rPr>
          <w:rFonts w:ascii="Times New Roman" w:hAnsi="Times New Roman"/>
          <w:sz w:val="26"/>
          <w:szCs w:val="26"/>
        </w:rPr>
        <w:t xml:space="preserve">ampia rosa di macchine e attrezzature per la produzione di biomasse ad uso energetico, per la gestione sostenibile della filiera del legno ma anche per la prevenzione del dissesto idrogeologico. </w:t>
      </w:r>
      <w:r w:rsidRPr="00E36ED6">
        <w:rPr>
          <w:rFonts w:ascii="Times New Roman" w:hAnsi="Times New Roman"/>
          <w:sz w:val="26"/>
          <w:szCs w:val="26"/>
          <w:rtl/>
          <w:lang w:val="ar-SA"/>
        </w:rPr>
        <w:t>“</w:t>
      </w:r>
      <w:r w:rsidRPr="00E36ED6">
        <w:rPr>
          <w:rFonts w:ascii="Times New Roman" w:hAnsi="Times New Roman"/>
          <w:sz w:val="26"/>
          <w:szCs w:val="26"/>
        </w:rPr>
        <w:t xml:space="preserve">Dalle trattrici forestali ai verricelli, dalle motoseghe ai </w:t>
      </w:r>
      <w:proofErr w:type="spellStart"/>
      <w:r w:rsidRPr="00E36ED6">
        <w:rPr>
          <w:rFonts w:ascii="Times New Roman" w:hAnsi="Times New Roman"/>
          <w:sz w:val="26"/>
          <w:szCs w:val="26"/>
        </w:rPr>
        <w:t>decippatori</w:t>
      </w:r>
      <w:proofErr w:type="spellEnd"/>
      <w:r w:rsidRPr="00E36ED6">
        <w:rPr>
          <w:rFonts w:ascii="Times New Roman" w:hAnsi="Times New Roman"/>
          <w:sz w:val="26"/>
          <w:szCs w:val="26"/>
        </w:rPr>
        <w:t xml:space="preserve">, sino alle </w:t>
      </w:r>
      <w:proofErr w:type="spellStart"/>
      <w:r w:rsidRPr="00E36ED6">
        <w:rPr>
          <w:rFonts w:ascii="Times New Roman" w:hAnsi="Times New Roman"/>
          <w:sz w:val="26"/>
          <w:szCs w:val="26"/>
        </w:rPr>
        <w:t>trince</w:t>
      </w:r>
      <w:proofErr w:type="spellEnd"/>
      <w:r w:rsidRPr="00E36ED6">
        <w:rPr>
          <w:rFonts w:ascii="Times New Roman" w:hAnsi="Times New Roman"/>
          <w:sz w:val="26"/>
          <w:szCs w:val="26"/>
        </w:rPr>
        <w:t xml:space="preserve"> e ai sistemi di misurazione, la kermesse di Barberino di Mugello   - spiega il presidente di ITABIA, Vito Pignatelli - è una tre giorni di prove sul campo che impegna un circuito di circa tre chilometri a doppio anello, su trenta ettari di terreno boschivo”. Le dimostrazioni tecniche rappresentano la sezione più scenografica della rassegna, ma FUTA EXPO non è soltanto una grande vetrina delle tecnologie per la forestazione. La manifestazione nasce infatti anche con l</w:t>
      </w:r>
      <w:r w:rsidRPr="00E36ED6">
        <w:rPr>
          <w:rFonts w:ascii="Times New Roman" w:hAnsi="Times New Roman"/>
          <w:sz w:val="26"/>
          <w:szCs w:val="26"/>
          <w:rtl/>
        </w:rPr>
        <w:t>’</w:t>
      </w:r>
      <w:r w:rsidRPr="00E36ED6">
        <w:rPr>
          <w:rFonts w:ascii="Times New Roman" w:hAnsi="Times New Roman"/>
          <w:sz w:val="26"/>
          <w:szCs w:val="26"/>
        </w:rPr>
        <w:t xml:space="preserve">obiettivo di promuovere un confronto fra tutti gli  attori della filiera - stakeholder, costruttori di macchine forestali, mondo </w:t>
      </w:r>
      <w:proofErr w:type="spellStart"/>
      <w:r w:rsidRPr="00E36ED6">
        <w:rPr>
          <w:rFonts w:ascii="Times New Roman" w:hAnsi="Times New Roman"/>
          <w:sz w:val="26"/>
          <w:szCs w:val="26"/>
        </w:rPr>
        <w:t>dell</w:t>
      </w:r>
      <w:proofErr w:type="spellEnd"/>
      <w:r w:rsidRPr="00E36ED6">
        <w:rPr>
          <w:rFonts w:ascii="Times New Roman" w:hAnsi="Times New Roman"/>
          <w:sz w:val="26"/>
          <w:szCs w:val="26"/>
          <w:rtl/>
        </w:rPr>
        <w:t>’</w:t>
      </w:r>
      <w:r w:rsidRPr="00E36ED6">
        <w:rPr>
          <w:rFonts w:ascii="Times New Roman" w:hAnsi="Times New Roman"/>
          <w:sz w:val="26"/>
          <w:szCs w:val="26"/>
        </w:rPr>
        <w:t>università, della formazione e della ricerca - sui  temi di maggior rilievo per il settore. Gli eventi di approfondimento tematico, previsti sino a domenica 6 luglio dagli organizzatori di ITABIA, toccheranno un</w:t>
      </w:r>
      <w:r w:rsidRPr="00E36ED6">
        <w:rPr>
          <w:rFonts w:ascii="Times New Roman" w:hAnsi="Times New Roman"/>
          <w:sz w:val="26"/>
          <w:szCs w:val="26"/>
          <w:rtl/>
        </w:rPr>
        <w:t>’</w:t>
      </w:r>
      <w:r w:rsidRPr="00E36ED6">
        <w:rPr>
          <w:rFonts w:ascii="Times New Roman" w:hAnsi="Times New Roman"/>
          <w:sz w:val="26"/>
          <w:szCs w:val="26"/>
        </w:rPr>
        <w:t xml:space="preserve">ampia rosa di argomenti: oggi sono previsti il workshop sul tema </w:t>
      </w:r>
      <w:r w:rsidRPr="00E36ED6">
        <w:rPr>
          <w:rFonts w:ascii="Times New Roman" w:hAnsi="Times New Roman"/>
          <w:sz w:val="26"/>
          <w:szCs w:val="26"/>
          <w:rtl/>
          <w:lang w:val="ar-SA"/>
        </w:rPr>
        <w:t>“</w:t>
      </w:r>
      <w:r w:rsidRPr="00E36ED6">
        <w:rPr>
          <w:rFonts w:ascii="Times New Roman" w:hAnsi="Times New Roman"/>
          <w:sz w:val="26"/>
          <w:szCs w:val="26"/>
        </w:rPr>
        <w:t xml:space="preserve">Gestione della qualità e certificazione BIOMASSPLUS”, promosso da AIEL, e il workshop sul tema </w:t>
      </w:r>
      <w:r w:rsidRPr="00E36ED6">
        <w:rPr>
          <w:rFonts w:ascii="Times New Roman" w:hAnsi="Times New Roman"/>
          <w:sz w:val="26"/>
          <w:szCs w:val="26"/>
          <w:rtl/>
          <w:lang w:val="ar-SA"/>
        </w:rPr>
        <w:t>“</w:t>
      </w:r>
      <w:r w:rsidRPr="00E36ED6">
        <w:rPr>
          <w:rFonts w:ascii="Times New Roman" w:hAnsi="Times New Roman"/>
          <w:sz w:val="26"/>
          <w:szCs w:val="26"/>
        </w:rPr>
        <w:t xml:space="preserve">La sostenibilità della gestione forestale: gli standard PEFC e le utilizzazioni forestali”, promosso da PEFC; mentre al pubblico dei bambini sono dedicati due eventi divulgativo/didattici, previsti rispettivamente oggi e domani, domenica 6, sul tema </w:t>
      </w:r>
      <w:r w:rsidRPr="00E36ED6">
        <w:rPr>
          <w:rFonts w:ascii="Times New Roman" w:hAnsi="Times New Roman"/>
          <w:sz w:val="26"/>
          <w:szCs w:val="26"/>
          <w:rtl/>
          <w:lang w:val="ar-SA"/>
        </w:rPr>
        <w:t>“</w:t>
      </w:r>
      <w:r w:rsidRPr="00E36ED6">
        <w:rPr>
          <w:rFonts w:ascii="Times New Roman" w:hAnsi="Times New Roman"/>
          <w:sz w:val="26"/>
          <w:szCs w:val="26"/>
        </w:rPr>
        <w:t xml:space="preserve">Per fare un albero, ci vuole un fiore”.  Altri appuntamenti sono previsti nel corso della kermesse, su temi quali la  </w:t>
      </w:r>
      <w:r w:rsidRPr="00E36ED6">
        <w:rPr>
          <w:rFonts w:ascii="Times New Roman" w:hAnsi="Times New Roman"/>
          <w:sz w:val="26"/>
          <w:szCs w:val="26"/>
        </w:rPr>
        <w:lastRenderedPageBreak/>
        <w:t xml:space="preserve">tracciabilità dei prodotti forestali, la vivaistica forestale sostenibile, la gestione razionale delle attività </w:t>
      </w:r>
      <w:proofErr w:type="spellStart"/>
      <w:r w:rsidRPr="00E36ED6">
        <w:rPr>
          <w:rFonts w:ascii="Times New Roman" w:hAnsi="Times New Roman"/>
          <w:sz w:val="26"/>
          <w:szCs w:val="26"/>
        </w:rPr>
        <w:t>silvicolturali</w:t>
      </w:r>
      <w:proofErr w:type="spellEnd"/>
      <w:r w:rsidRPr="00E36ED6">
        <w:rPr>
          <w:rFonts w:ascii="Times New Roman" w:hAnsi="Times New Roman"/>
          <w:sz w:val="26"/>
          <w:szCs w:val="26"/>
        </w:rPr>
        <w:t xml:space="preserve">. </w:t>
      </w:r>
      <w:r w:rsidRPr="00E36ED6">
        <w:rPr>
          <w:rFonts w:ascii="Times New Roman" w:hAnsi="Times New Roman"/>
          <w:sz w:val="26"/>
          <w:szCs w:val="26"/>
          <w:rtl/>
          <w:lang w:val="ar-SA"/>
        </w:rPr>
        <w:t>“</w:t>
      </w:r>
      <w:r w:rsidRPr="00E36ED6">
        <w:rPr>
          <w:rFonts w:ascii="Times New Roman" w:hAnsi="Times New Roman"/>
          <w:sz w:val="26"/>
          <w:szCs w:val="26"/>
        </w:rPr>
        <w:t>FUTA EXPO è un presidio molto importante - sostiene Vito Pignatelli - giacché l</w:t>
      </w:r>
      <w:r w:rsidRPr="00E36ED6">
        <w:rPr>
          <w:rFonts w:ascii="Times New Roman" w:hAnsi="Times New Roman"/>
          <w:sz w:val="26"/>
          <w:szCs w:val="26"/>
          <w:rtl/>
        </w:rPr>
        <w:t>’</w:t>
      </w:r>
      <w:r w:rsidRPr="00E36ED6">
        <w:rPr>
          <w:rFonts w:ascii="Times New Roman" w:hAnsi="Times New Roman"/>
          <w:sz w:val="26"/>
          <w:szCs w:val="26"/>
        </w:rPr>
        <w:t>Italia era l</w:t>
      </w:r>
      <w:r w:rsidRPr="00E36ED6">
        <w:rPr>
          <w:rFonts w:ascii="Times New Roman" w:hAnsi="Times New Roman"/>
          <w:sz w:val="26"/>
          <w:szCs w:val="26"/>
          <w:rtl/>
        </w:rPr>
        <w:t>’</w:t>
      </w:r>
      <w:r w:rsidRPr="00E36ED6">
        <w:rPr>
          <w:rFonts w:ascii="Times New Roman" w:hAnsi="Times New Roman"/>
          <w:sz w:val="26"/>
          <w:szCs w:val="26"/>
        </w:rPr>
        <w:t>unico tra i grandi Paesi europei a non avere in calendario una manifestazione su scala  nazionale dedicata al settore forestale. L</w:t>
      </w:r>
      <w:r w:rsidRPr="00E36ED6">
        <w:rPr>
          <w:rFonts w:ascii="Times New Roman" w:hAnsi="Times New Roman"/>
          <w:sz w:val="26"/>
          <w:szCs w:val="26"/>
          <w:rtl/>
        </w:rPr>
        <w:t>’</w:t>
      </w:r>
      <w:r w:rsidRPr="00E36ED6">
        <w:rPr>
          <w:rFonts w:ascii="Times New Roman" w:hAnsi="Times New Roman"/>
          <w:sz w:val="26"/>
          <w:szCs w:val="26"/>
        </w:rPr>
        <w:t>elevato numero di adesione per questa prima edizione, alla quale prendono parte 80 case costruttrici, conferma quanto fosse attesa questa kermesse, che sarà replicata con cadenza biennale anche nei prossimi anni”.</w:t>
      </w:r>
      <w:bookmarkEnd w:id="1"/>
    </w:p>
    <w:p w14:paraId="2D133725" w14:textId="77777777" w:rsidR="000F319B" w:rsidRDefault="000F31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sz w:val="36"/>
          <w:szCs w:val="36"/>
        </w:rPr>
      </w:pPr>
    </w:p>
    <w:p w14:paraId="5537648D" w14:textId="77777777" w:rsidR="000F319B"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1984"/>
        <w:jc w:val="both"/>
        <w:rPr>
          <w:rFonts w:ascii="Times New Roman" w:eastAsia="Times New Roman" w:hAnsi="Times New Roman" w:cs="Times New Roman"/>
          <w:b/>
          <w:bCs/>
          <w:sz w:val="28"/>
          <w:szCs w:val="28"/>
        </w:rPr>
      </w:pPr>
      <w:r>
        <w:rPr>
          <w:rFonts w:ascii="Times New Roman" w:hAnsi="Times New Roman"/>
          <w:b/>
          <w:bCs/>
          <w:sz w:val="28"/>
          <w:szCs w:val="28"/>
        </w:rPr>
        <w:t>Roma, 4 luglio 2025</w:t>
      </w:r>
    </w:p>
    <w:p w14:paraId="49195475" w14:textId="77777777" w:rsidR="000F319B" w:rsidRDefault="000F319B">
      <w:pPr>
        <w:ind w:left="2127" w:hanging="3"/>
        <w:jc w:val="both"/>
        <w:rPr>
          <w:b/>
          <w:bCs/>
          <w:sz w:val="28"/>
          <w:szCs w:val="28"/>
        </w:rPr>
      </w:pPr>
    </w:p>
    <w:p w14:paraId="6BC9E12C" w14:textId="77777777" w:rsidR="000F319B" w:rsidRDefault="000F319B">
      <w:pPr>
        <w:ind w:left="2127" w:hanging="3"/>
        <w:jc w:val="both"/>
        <w:rPr>
          <w:b/>
          <w:bCs/>
          <w:sz w:val="28"/>
          <w:szCs w:val="28"/>
        </w:rPr>
      </w:pPr>
    </w:p>
    <w:p w14:paraId="3AD03891" w14:textId="77777777" w:rsidR="000F319B" w:rsidRDefault="000F319B">
      <w:pPr>
        <w:ind w:left="2127"/>
        <w:jc w:val="both"/>
        <w:rPr>
          <w:b/>
          <w:bCs/>
        </w:rPr>
      </w:pPr>
    </w:p>
    <w:p w14:paraId="6116D596" w14:textId="77777777" w:rsidR="000F319B" w:rsidRDefault="000F319B">
      <w:pPr>
        <w:ind w:left="2127"/>
        <w:jc w:val="both"/>
        <w:rPr>
          <w:b/>
          <w:bCs/>
        </w:rPr>
      </w:pPr>
    </w:p>
    <w:p w14:paraId="440CBD33" w14:textId="77777777" w:rsidR="000F319B" w:rsidRDefault="00000000">
      <w:pPr>
        <w:ind w:left="2127"/>
        <w:jc w:val="both"/>
      </w:pPr>
      <w:r>
        <w:rPr>
          <w:b/>
          <w:bCs/>
        </w:rPr>
        <w:t xml:space="preserve"> </w:t>
      </w:r>
    </w:p>
    <w:p w14:paraId="37C321F9" w14:textId="77777777" w:rsidR="000F319B" w:rsidRDefault="000F319B">
      <w:pPr>
        <w:ind w:left="2127"/>
        <w:jc w:val="both"/>
        <w:rPr>
          <w:b/>
          <w:bCs/>
        </w:rPr>
      </w:pPr>
    </w:p>
    <w:p w14:paraId="53FB1C21" w14:textId="77777777" w:rsidR="000F319B" w:rsidRDefault="000F319B">
      <w:pPr>
        <w:ind w:left="2127"/>
        <w:jc w:val="both"/>
      </w:pPr>
    </w:p>
    <w:sectPr w:rsidR="000F319B">
      <w:headerReference w:type="default" r:id="rId6"/>
      <w:footerReference w:type="default" r:id="rId7"/>
      <w:pgSz w:w="11900" w:h="16840"/>
      <w:pgMar w:top="624" w:right="1134" w:bottom="1134" w:left="1134" w:header="709" w:footer="1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77B5" w14:textId="77777777" w:rsidR="008918BD" w:rsidRDefault="008918BD">
      <w:r>
        <w:separator/>
      </w:r>
    </w:p>
  </w:endnote>
  <w:endnote w:type="continuationSeparator" w:id="0">
    <w:p w14:paraId="6802B1A7" w14:textId="77777777" w:rsidR="008918BD" w:rsidRDefault="0089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2862" w14:textId="77777777" w:rsidR="000F319B" w:rsidRDefault="000F319B">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8985" w14:textId="77777777" w:rsidR="008918BD" w:rsidRDefault="008918BD">
      <w:r>
        <w:separator/>
      </w:r>
    </w:p>
  </w:footnote>
  <w:footnote w:type="continuationSeparator" w:id="0">
    <w:p w14:paraId="153D8CD4" w14:textId="77777777" w:rsidR="008918BD" w:rsidRDefault="0089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BF19" w14:textId="77777777" w:rsidR="000F319B" w:rsidRDefault="00000000">
    <w:pPr>
      <w:pStyle w:val="Intestazione"/>
      <w:tabs>
        <w:tab w:val="clear" w:pos="9638"/>
      </w:tabs>
    </w:pPr>
    <w:r>
      <w:rPr>
        <w:noProof/>
      </w:rPr>
      <w:drawing>
        <wp:anchor distT="152400" distB="152400" distL="152400" distR="152400" simplePos="0" relativeHeight="251658240" behindDoc="1" locked="0" layoutInCell="1" allowOverlap="1" wp14:anchorId="1EEBB74E" wp14:editId="53E40001">
          <wp:simplePos x="0" y="0"/>
          <wp:positionH relativeFrom="page">
            <wp:posOffset>-38099</wp:posOffset>
          </wp:positionH>
          <wp:positionV relativeFrom="page">
            <wp:posOffset>-76834</wp:posOffset>
          </wp:positionV>
          <wp:extent cx="7599045" cy="10744200"/>
          <wp:effectExtent l="0" t="0" r="0" b="0"/>
          <wp:wrapNone/>
          <wp:docPr id="1073741825" name="officeArt object" descr="CI FEDERUNACOMA CS.jpeg"/>
          <wp:cNvGraphicFramePr/>
          <a:graphic xmlns:a="http://schemas.openxmlformats.org/drawingml/2006/main">
            <a:graphicData uri="http://schemas.openxmlformats.org/drawingml/2006/picture">
              <pic:pic xmlns:pic="http://schemas.openxmlformats.org/drawingml/2006/picture">
                <pic:nvPicPr>
                  <pic:cNvPr id="1073741825" name="CI FEDERUNACOMA CS.jpeg" descr="CI FEDERUNACOMA CS.jpeg"/>
                  <pic:cNvPicPr>
                    <a:picLocks noChangeAspect="1"/>
                  </pic:cNvPicPr>
                </pic:nvPicPr>
                <pic:blipFill>
                  <a:blip r:embed="rId1"/>
                  <a:stretch>
                    <a:fillRect/>
                  </a:stretch>
                </pic:blipFill>
                <pic:spPr>
                  <a:xfrm>
                    <a:off x="0" y="0"/>
                    <a:ext cx="7599045" cy="10744200"/>
                  </a:xfrm>
                  <a:prstGeom prst="rect">
                    <a:avLst/>
                  </a:prstGeom>
                  <a:ln w="12700" cap="flat">
                    <a:noFill/>
                    <a:miter lim="400000"/>
                  </a:ln>
                  <a:effectLst/>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9B"/>
    <w:rsid w:val="000F319B"/>
    <w:rsid w:val="004805F5"/>
    <w:rsid w:val="008918BD"/>
    <w:rsid w:val="00E36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4BC1"/>
  <w15:docId w15:val="{1F41D4D1-FDF9-44FE-B3FB-6EB36BEC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outlineLvl w:val="0"/>
    </w:pPr>
    <w:rPr>
      <w:rFonts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dcterms:created xsi:type="dcterms:W3CDTF">2025-07-05T15:52:00Z</dcterms:created>
  <dcterms:modified xsi:type="dcterms:W3CDTF">2025-07-05T15:52:00Z</dcterms:modified>
</cp:coreProperties>
</file>