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19095" w14:textId="77777777" w:rsidR="007A18B6" w:rsidRDefault="00125871">
      <w:pPr>
        <w:ind w:left="2127"/>
        <w:jc w:val="both"/>
        <w:rPr>
          <w:i/>
          <w:sz w:val="25"/>
          <w:szCs w:val="25"/>
        </w:rPr>
      </w:pPr>
      <w:r>
        <w:rPr>
          <w:i/>
          <w:sz w:val="25"/>
          <w:szCs w:val="25"/>
        </w:rPr>
        <w:t>Press release</w:t>
      </w:r>
    </w:p>
    <w:p w14:paraId="2F848816" w14:textId="77777777" w:rsidR="00E445E5" w:rsidRDefault="00E445E5" w:rsidP="006379A3">
      <w:pPr>
        <w:ind w:left="2127"/>
        <w:jc w:val="both"/>
        <w:rPr>
          <w:i/>
          <w:sz w:val="25"/>
          <w:szCs w:val="25"/>
        </w:rPr>
      </w:pPr>
    </w:p>
    <w:p w14:paraId="0A65734F" w14:textId="77777777" w:rsidR="007A18B6" w:rsidRDefault="00125871">
      <w:pPr>
        <w:ind w:left="2127"/>
        <w:jc w:val="both"/>
        <w:rPr>
          <w:b/>
          <w:bCs/>
          <w:sz w:val="28"/>
          <w:szCs w:val="28"/>
        </w:rPr>
      </w:pPr>
      <w:r w:rsidRPr="006379A3">
        <w:rPr>
          <w:b/>
          <w:bCs/>
          <w:sz w:val="28"/>
          <w:szCs w:val="28"/>
        </w:rPr>
        <w:t>Agricultural machinery, first quarter down but market remains strong</w:t>
      </w:r>
    </w:p>
    <w:p w14:paraId="710563D4" w14:textId="77777777" w:rsidR="006379A3" w:rsidRPr="00331D73" w:rsidRDefault="006379A3" w:rsidP="006379A3">
      <w:pPr>
        <w:ind w:left="2127"/>
        <w:jc w:val="both"/>
        <w:rPr>
          <w:b/>
          <w:bCs/>
        </w:rPr>
      </w:pPr>
    </w:p>
    <w:p w14:paraId="76D3BCD0" w14:textId="0303C394" w:rsidR="007A18B6" w:rsidRDefault="00125871">
      <w:pPr>
        <w:ind w:left="2127"/>
        <w:jc w:val="both"/>
        <w:rPr>
          <w:b/>
          <w:bCs/>
          <w:i/>
          <w:iCs/>
        </w:rPr>
      </w:pPr>
      <w:r w:rsidRPr="006379A3">
        <w:rPr>
          <w:b/>
          <w:bCs/>
          <w:i/>
          <w:iCs/>
        </w:rPr>
        <w:t xml:space="preserve">The first three months of the year show a decline in sales of agricultural machinery compared to the same period in 2021. The market contraction is </w:t>
      </w:r>
      <w:r w:rsidR="008927DC">
        <w:rPr>
          <w:b/>
          <w:bCs/>
          <w:i/>
          <w:iCs/>
        </w:rPr>
        <w:t>organic</w:t>
      </w:r>
      <w:r w:rsidRPr="006379A3">
        <w:rPr>
          <w:b/>
          <w:bCs/>
          <w:i/>
          <w:iCs/>
        </w:rPr>
        <w:t xml:space="preserve"> compared to the record levels reached in the first quarter of last year. Incentives continue t</w:t>
      </w:r>
      <w:r w:rsidRPr="006379A3">
        <w:rPr>
          <w:b/>
          <w:bCs/>
          <w:i/>
          <w:iCs/>
        </w:rPr>
        <w:t>o support the market but geopolitical uncertainties may weigh on the coming months</w:t>
      </w:r>
    </w:p>
    <w:p w14:paraId="33FF810F" w14:textId="77777777" w:rsidR="006379A3" w:rsidRDefault="006379A3" w:rsidP="006379A3">
      <w:pPr>
        <w:ind w:left="2127"/>
        <w:jc w:val="both"/>
      </w:pPr>
    </w:p>
    <w:p w14:paraId="6C06DBE9" w14:textId="77777777" w:rsidR="007A18B6" w:rsidRDefault="00125871">
      <w:pPr>
        <w:ind w:left="2127"/>
        <w:jc w:val="both"/>
      </w:pPr>
      <w:r>
        <w:t xml:space="preserve">The machinery market held up well in the first quarter of the year, albeit with a drop compared to the record volumes reached in the same period of 2021. </w:t>
      </w:r>
      <w:r w:rsidRPr="00BA798B">
        <w:t>Registration figur</w:t>
      </w:r>
      <w:r w:rsidRPr="00BA798B">
        <w:t xml:space="preserve">es, processed by FederUnacoma on the basis of registrations provided by the Ministry of Transport, indicate </w:t>
      </w:r>
      <w:r>
        <w:t>a total of approximately 5,400 units sold for tractors, down 9.9% compared to the first quarter of last year when registrations were up 57.6% on 202</w:t>
      </w:r>
      <w:r>
        <w:t xml:space="preserve">0. </w:t>
      </w:r>
    </w:p>
    <w:p w14:paraId="5E2F7413" w14:textId="2A29C381" w:rsidR="007A18B6" w:rsidRDefault="00125871">
      <w:pPr>
        <w:ind w:left="2127"/>
        <w:jc w:val="both"/>
      </w:pPr>
      <w:r>
        <w:t>In the first three months of 2022, sales of combine harvesters reached 41 units, down 26.8% compared to the previous year (in the first quarter of 2021 they had grown by 180% compared to 2020), while registrations of tractors with loading platforms rea</w:t>
      </w:r>
      <w:r>
        <w:t xml:space="preserve">ched 132 vehicles, down 10.2% compared to the first three months of 2021 (+21.5% compared to 2020). Trailers and telehandlers also remained at high levels, closing the first part of the year with 1,944 (-8.2%) and 309 (-18.7%) units sold, respectively. </w:t>
      </w:r>
      <w:r w:rsidR="008927DC">
        <w:t>Also</w:t>
      </w:r>
      <w:r>
        <w:t xml:space="preserve"> for these two types of machines, the drop in 2022 has a relative weight, as it refers to a quarter that in 2021 had seen record increases in registrations (compared to 2020: +37.4% for trailers, +86.3% for telehandlers).</w:t>
      </w:r>
    </w:p>
    <w:p w14:paraId="5D84F59C" w14:textId="00714892" w:rsidR="007A18B6" w:rsidRDefault="00125871">
      <w:pPr>
        <w:ind w:left="2127"/>
        <w:jc w:val="both"/>
      </w:pPr>
      <w:r>
        <w:t>After a 2021 marked by extraordin</w:t>
      </w:r>
      <w:r>
        <w:t xml:space="preserve">arily high sales volumes for the agricultural machinery market, the setback observed from January to March can therefore be considered </w:t>
      </w:r>
      <w:r w:rsidR="008927DC">
        <w:t>organic</w:t>
      </w:r>
      <w:r>
        <w:t>, as demand for agricultural technology continues to be strong. The transition towards agriculture 4.0, with</w:t>
      </w:r>
      <w:r>
        <w:t xml:space="preserve"> investments for the purchase of the latest generation of mechanical equipment, and the simultaneous presence of several financing instruments for the purchase of agricultural machinery (credit for 4.0, Nuova Sabatini, </w:t>
      </w:r>
      <w:bookmarkStart w:id="0" w:name="OLE_LINK9"/>
      <w:bookmarkStart w:id="1" w:name="OLE_LINK8"/>
      <w:r w:rsidR="008927DC">
        <w:t>NRRP</w:t>
      </w:r>
      <w:r>
        <w:t>, PSR</w:t>
      </w:r>
      <w:bookmarkEnd w:id="1"/>
      <w:r>
        <w:t>, Bando ISI-Inail</w:t>
      </w:r>
      <w:bookmarkEnd w:id="0"/>
      <w:r>
        <w:t>) contribut</w:t>
      </w:r>
      <w:r>
        <w:t xml:space="preserve">e to supporting this demand. However, as the year progresses, sales trends will inevitably be affected by very significant economic factors. </w:t>
      </w:r>
    </w:p>
    <w:p w14:paraId="50CF536A" w14:textId="33F79E35" w:rsidR="007A18B6" w:rsidRDefault="00125871">
      <w:pPr>
        <w:ind w:left="2127"/>
        <w:jc w:val="both"/>
      </w:pPr>
      <w:r>
        <w:t>"We find ourselves in a contradictory economic phase since, while the demand for machinery is going well, price vo</w:t>
      </w:r>
      <w:r>
        <w:t>latility and difficulties in the supply of raw materials, which have been greatly exacerbated by the war in Ukraine, are threatening market growth," explains Alessandro Malavolti, president of FederUnacoma. The commodity emergency is not only affecting the</w:t>
      </w:r>
      <w:r>
        <w:t xml:space="preserve"> agri</w:t>
      </w:r>
      <w:r w:rsidR="008927DC">
        <w:t xml:space="preserve">cultural machinery </w:t>
      </w:r>
      <w:r>
        <w:t>industry, making production processes much more expensive, but is also affecting the agricultural sector which, driven by a generalised increase in costs (especially those relating to energy and fertilisers), is seeing its own investment c</w:t>
      </w:r>
      <w:r>
        <w:t>apacities decline. "In this scenario</w:t>
      </w:r>
      <w:r w:rsidR="00E42F24">
        <w:t xml:space="preserve"> -</w:t>
      </w:r>
      <w:r>
        <w:t xml:space="preserve"> Malavolti concludes</w:t>
      </w:r>
      <w:r w:rsidR="00E42F24">
        <w:t xml:space="preserve"> - </w:t>
      </w:r>
      <w:r>
        <w:t>it is necessary to combine very short-term strategies with a long-term strategic vision, also aimed at exploring new channels and supply methods for raw materials</w:t>
      </w:r>
      <w:r w:rsidR="00E42F24">
        <w:t>"</w:t>
      </w:r>
      <w:r>
        <w:t>.</w:t>
      </w:r>
    </w:p>
    <w:p w14:paraId="3CBFD902" w14:textId="77777777" w:rsidR="00EB6391" w:rsidRPr="00622326" w:rsidRDefault="00EB6391" w:rsidP="006379A3">
      <w:pPr>
        <w:ind w:left="2127"/>
        <w:jc w:val="both"/>
        <w:rPr>
          <w:b/>
          <w:sz w:val="25"/>
          <w:szCs w:val="25"/>
        </w:rPr>
      </w:pPr>
    </w:p>
    <w:p w14:paraId="26F4F0DA" w14:textId="77777777" w:rsidR="007A18B6" w:rsidRDefault="00125871">
      <w:pPr>
        <w:spacing w:after="160" w:line="259" w:lineRule="auto"/>
        <w:ind w:left="2127"/>
        <w:jc w:val="both"/>
        <w:rPr>
          <w:b/>
          <w:sz w:val="25"/>
          <w:szCs w:val="25"/>
        </w:rPr>
      </w:pPr>
      <w:r>
        <w:rPr>
          <w:b/>
          <w:sz w:val="25"/>
          <w:szCs w:val="25"/>
        </w:rPr>
        <w:t>Rome</w:t>
      </w:r>
      <w:r w:rsidR="00776788" w:rsidRPr="00622326">
        <w:rPr>
          <w:b/>
          <w:sz w:val="25"/>
          <w:szCs w:val="25"/>
        </w:rPr>
        <w:t xml:space="preserve">, </w:t>
      </w:r>
      <w:r>
        <w:rPr>
          <w:b/>
          <w:sz w:val="25"/>
          <w:szCs w:val="25"/>
        </w:rPr>
        <w:t xml:space="preserve">14 April </w:t>
      </w:r>
      <w:r w:rsidR="00776788" w:rsidRPr="00622326">
        <w:rPr>
          <w:b/>
          <w:sz w:val="25"/>
          <w:szCs w:val="25"/>
        </w:rPr>
        <w:t>2022</w:t>
      </w:r>
    </w:p>
    <w:p w14:paraId="1DC8ADD8" w14:textId="77777777" w:rsidR="00C67FAE" w:rsidRDefault="00C67FAE" w:rsidP="006379A3">
      <w:pPr>
        <w:spacing w:after="160" w:line="259" w:lineRule="auto"/>
        <w:ind w:left="2127"/>
        <w:jc w:val="both"/>
        <w:rPr>
          <w:b/>
          <w:sz w:val="25"/>
          <w:szCs w:val="25"/>
        </w:rPr>
      </w:pPr>
    </w:p>
    <w:p w14:paraId="36C1F85C" w14:textId="77777777" w:rsidR="00C67FAE" w:rsidRDefault="00C67FAE" w:rsidP="00C67FAE">
      <w:pPr>
        <w:spacing w:after="160" w:line="259" w:lineRule="auto"/>
        <w:ind w:left="2127" w:hanging="1134"/>
        <w:jc w:val="right"/>
        <w:rPr>
          <w:b/>
          <w:sz w:val="25"/>
          <w:szCs w:val="25"/>
        </w:rPr>
      </w:pPr>
      <w:r>
        <w:rPr>
          <w:b/>
          <w:noProof/>
          <w:sz w:val="25"/>
          <w:szCs w:val="25"/>
        </w:rPr>
        <w:drawing>
          <wp:inline distT="0" distB="0" distL="0" distR="0" wp14:anchorId="0AE3F588" wp14:editId="664F0A7E">
            <wp:extent cx="5292090" cy="4570092"/>
            <wp:effectExtent l="0" t="0" r="381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2538" cy="4587750"/>
                    </a:xfrm>
                    <a:prstGeom prst="rect">
                      <a:avLst/>
                    </a:prstGeom>
                    <a:noFill/>
                    <a:ln>
                      <a:noFill/>
                    </a:ln>
                  </pic:spPr>
                </pic:pic>
              </a:graphicData>
            </a:graphic>
          </wp:inline>
        </w:drawing>
      </w:r>
    </w:p>
    <w:p w14:paraId="4A61A070" w14:textId="77777777" w:rsidR="00DF67ED" w:rsidRDefault="00DF67ED" w:rsidP="007F17F6">
      <w:pPr>
        <w:spacing w:after="160" w:line="259" w:lineRule="auto"/>
        <w:jc w:val="both"/>
        <w:rPr>
          <w:b/>
          <w:sz w:val="25"/>
          <w:szCs w:val="25"/>
        </w:rPr>
      </w:pPr>
    </w:p>
    <w:p w14:paraId="1E54B950" w14:textId="77777777" w:rsidR="00DF67ED" w:rsidRDefault="00DF67ED" w:rsidP="0073178F">
      <w:pPr>
        <w:spacing w:after="160" w:line="259" w:lineRule="auto"/>
        <w:jc w:val="both"/>
        <w:rPr>
          <w:b/>
          <w:sz w:val="25"/>
          <w:szCs w:val="25"/>
        </w:rPr>
      </w:pPr>
      <w:r>
        <w:rPr>
          <w:b/>
          <w:sz w:val="25"/>
          <w:szCs w:val="25"/>
        </w:rPr>
        <w:t xml:space="preserve">                </w:t>
      </w:r>
      <w:r>
        <w:rPr>
          <w:b/>
          <w:sz w:val="25"/>
          <w:szCs w:val="25"/>
        </w:rPr>
        <w:tab/>
        <w:t xml:space="preserve">    </w:t>
      </w:r>
      <w:hyperlink r:id="rId8" w:history="1"/>
      <w:r w:rsidR="00E445E5">
        <w:rPr>
          <w:rStyle w:val="Hyperlink"/>
          <w:b/>
          <w:sz w:val="25"/>
          <w:szCs w:val="25"/>
        </w:rPr>
        <w:t xml:space="preserve"> </w:t>
      </w:r>
    </w:p>
    <w:p w14:paraId="3355F69F" w14:textId="77777777" w:rsidR="0025180B" w:rsidRDefault="0025180B" w:rsidP="0073178F">
      <w:pPr>
        <w:spacing w:after="160" w:line="259" w:lineRule="auto"/>
        <w:jc w:val="both"/>
        <w:rPr>
          <w:b/>
          <w:sz w:val="25"/>
          <w:szCs w:val="25"/>
        </w:rPr>
      </w:pPr>
    </w:p>
    <w:p w14:paraId="03E31353" w14:textId="77777777" w:rsidR="0025180B" w:rsidRDefault="0025180B" w:rsidP="0073178F">
      <w:pPr>
        <w:spacing w:after="160" w:line="259" w:lineRule="auto"/>
        <w:jc w:val="both"/>
        <w:rPr>
          <w:b/>
          <w:sz w:val="25"/>
          <w:szCs w:val="25"/>
        </w:rPr>
      </w:pPr>
    </w:p>
    <w:p w14:paraId="3968F74C" w14:textId="77777777" w:rsidR="0025180B" w:rsidRPr="00622326" w:rsidRDefault="0025180B" w:rsidP="00CF4D28">
      <w:pPr>
        <w:spacing w:after="160" w:line="259" w:lineRule="auto"/>
        <w:jc w:val="right"/>
        <w:rPr>
          <w:b/>
          <w:sz w:val="25"/>
          <w:szCs w:val="25"/>
        </w:rPr>
      </w:pPr>
    </w:p>
    <w:sectPr w:rsidR="0025180B" w:rsidRPr="00622326" w:rsidSect="002209C1">
      <w:headerReference w:type="default" r:id="rId9"/>
      <w:footerReference w:type="default" r:id="rId10"/>
      <w:pgSz w:w="11906" w:h="16838"/>
      <w:pgMar w:top="567" w:right="425" w:bottom="828" w:left="1134" w:header="709" w:footer="1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B10EB" w14:textId="77777777" w:rsidR="00125871" w:rsidRDefault="00125871">
      <w:r>
        <w:separator/>
      </w:r>
    </w:p>
  </w:endnote>
  <w:endnote w:type="continuationSeparator" w:id="0">
    <w:p w14:paraId="21C1C028" w14:textId="77777777" w:rsidR="00125871" w:rsidRDefault="0012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42A2" w14:textId="77777777" w:rsidR="007A18B6" w:rsidRDefault="00125871">
    <w:pPr>
      <w:pStyle w:val="Footer"/>
      <w:jc w:val="right"/>
    </w:pPr>
    <w:r>
      <w:fldChar w:fldCharType="begin"/>
    </w:r>
    <w:r>
      <w:instrText>PAGE   \* MERGEFORMAT</w:instrText>
    </w:r>
    <w:r>
      <w:fldChar w:fldCharType="separate"/>
    </w:r>
    <w:r w:rsidR="00187D75" w:rsidRPr="00187D75">
      <w:rPr>
        <w:noProof/>
        <w:lang w:val="it-IT"/>
      </w:rPr>
      <w:t>1</w:t>
    </w:r>
    <w:r>
      <w:fldChar w:fldCharType="end"/>
    </w:r>
  </w:p>
  <w:p w14:paraId="5E0020AF" w14:textId="77777777" w:rsidR="00CB2699" w:rsidRDefault="00CB2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8E60" w14:textId="77777777" w:rsidR="00125871" w:rsidRDefault="00125871">
      <w:r>
        <w:separator/>
      </w:r>
    </w:p>
  </w:footnote>
  <w:footnote w:type="continuationSeparator" w:id="0">
    <w:p w14:paraId="6DFF3104" w14:textId="77777777" w:rsidR="00125871" w:rsidRDefault="0012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9C3C" w14:textId="77777777" w:rsidR="007A18B6" w:rsidRDefault="00125871">
    <w:pPr>
      <w:pStyle w:val="Header"/>
      <w:tabs>
        <w:tab w:val="clear" w:pos="9638"/>
      </w:tabs>
    </w:pPr>
    <w:r>
      <w:rPr>
        <w:noProof/>
      </w:rPr>
      <w:drawing>
        <wp:anchor distT="0" distB="0" distL="114300" distR="114300" simplePos="0" relativeHeight="251657728" behindDoc="1" locked="0" layoutInCell="1" allowOverlap="1" wp14:anchorId="14C41948" wp14:editId="420A9DB9">
          <wp:simplePos x="0" y="0"/>
          <wp:positionH relativeFrom="margin">
            <wp:posOffset>-821055</wp:posOffset>
          </wp:positionH>
          <wp:positionV relativeFrom="paragraph">
            <wp:posOffset>-447040</wp:posOffset>
          </wp:positionV>
          <wp:extent cx="7560310" cy="10676255"/>
          <wp:effectExtent l="0" t="0" r="254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76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953D2"/>
    <w:multiLevelType w:val="hybridMultilevel"/>
    <w:tmpl w:val="6FAEF17A"/>
    <w:lvl w:ilvl="0" w:tplc="1CCAB1AA">
      <w:start w:val="1"/>
      <w:numFmt w:val="bullet"/>
      <w:lvlText w:val=""/>
      <w:lvlJc w:val="left"/>
      <w:pPr>
        <w:tabs>
          <w:tab w:val="num" w:pos="360"/>
        </w:tabs>
        <w:ind w:left="360" w:hanging="360"/>
      </w:pPr>
      <w:rPr>
        <w:rFonts w:ascii="Symbol" w:hAnsi="Symbol" w:hint="default"/>
      </w:rPr>
    </w:lvl>
    <w:lvl w:ilvl="1" w:tplc="3854623A" w:tentative="1">
      <w:start w:val="1"/>
      <w:numFmt w:val="bullet"/>
      <w:lvlText w:val="o"/>
      <w:lvlJc w:val="left"/>
      <w:pPr>
        <w:tabs>
          <w:tab w:val="num" w:pos="1080"/>
        </w:tabs>
        <w:ind w:left="1080" w:hanging="360"/>
      </w:pPr>
      <w:rPr>
        <w:rFonts w:ascii="Courier New" w:hAnsi="Courier New" w:cs="Arial" w:hint="default"/>
      </w:rPr>
    </w:lvl>
    <w:lvl w:ilvl="2" w:tplc="D3AC2E46" w:tentative="1">
      <w:start w:val="1"/>
      <w:numFmt w:val="bullet"/>
      <w:lvlText w:val=""/>
      <w:lvlJc w:val="left"/>
      <w:pPr>
        <w:tabs>
          <w:tab w:val="num" w:pos="1800"/>
        </w:tabs>
        <w:ind w:left="1800" w:hanging="360"/>
      </w:pPr>
      <w:rPr>
        <w:rFonts w:ascii="Wingdings" w:hAnsi="Wingdings" w:hint="default"/>
      </w:rPr>
    </w:lvl>
    <w:lvl w:ilvl="3" w:tplc="AB4E666E" w:tentative="1">
      <w:start w:val="1"/>
      <w:numFmt w:val="bullet"/>
      <w:lvlText w:val=""/>
      <w:lvlJc w:val="left"/>
      <w:pPr>
        <w:tabs>
          <w:tab w:val="num" w:pos="2520"/>
        </w:tabs>
        <w:ind w:left="2520" w:hanging="360"/>
      </w:pPr>
      <w:rPr>
        <w:rFonts w:ascii="Symbol" w:hAnsi="Symbol" w:hint="default"/>
      </w:rPr>
    </w:lvl>
    <w:lvl w:ilvl="4" w:tplc="05364ADC" w:tentative="1">
      <w:start w:val="1"/>
      <w:numFmt w:val="bullet"/>
      <w:lvlText w:val="o"/>
      <w:lvlJc w:val="left"/>
      <w:pPr>
        <w:tabs>
          <w:tab w:val="num" w:pos="3240"/>
        </w:tabs>
        <w:ind w:left="3240" w:hanging="360"/>
      </w:pPr>
      <w:rPr>
        <w:rFonts w:ascii="Courier New" w:hAnsi="Courier New" w:cs="Arial" w:hint="default"/>
      </w:rPr>
    </w:lvl>
    <w:lvl w:ilvl="5" w:tplc="6CDE0F08" w:tentative="1">
      <w:start w:val="1"/>
      <w:numFmt w:val="bullet"/>
      <w:lvlText w:val=""/>
      <w:lvlJc w:val="left"/>
      <w:pPr>
        <w:tabs>
          <w:tab w:val="num" w:pos="3960"/>
        </w:tabs>
        <w:ind w:left="3960" w:hanging="360"/>
      </w:pPr>
      <w:rPr>
        <w:rFonts w:ascii="Wingdings" w:hAnsi="Wingdings" w:hint="default"/>
      </w:rPr>
    </w:lvl>
    <w:lvl w:ilvl="6" w:tplc="E4B47A06" w:tentative="1">
      <w:start w:val="1"/>
      <w:numFmt w:val="bullet"/>
      <w:lvlText w:val=""/>
      <w:lvlJc w:val="left"/>
      <w:pPr>
        <w:tabs>
          <w:tab w:val="num" w:pos="4680"/>
        </w:tabs>
        <w:ind w:left="4680" w:hanging="360"/>
      </w:pPr>
      <w:rPr>
        <w:rFonts w:ascii="Symbol" w:hAnsi="Symbol" w:hint="default"/>
      </w:rPr>
    </w:lvl>
    <w:lvl w:ilvl="7" w:tplc="B45EF248" w:tentative="1">
      <w:start w:val="1"/>
      <w:numFmt w:val="bullet"/>
      <w:lvlText w:val="o"/>
      <w:lvlJc w:val="left"/>
      <w:pPr>
        <w:tabs>
          <w:tab w:val="num" w:pos="5400"/>
        </w:tabs>
        <w:ind w:left="5400" w:hanging="360"/>
      </w:pPr>
      <w:rPr>
        <w:rFonts w:ascii="Courier New" w:hAnsi="Courier New" w:cs="Arial" w:hint="default"/>
      </w:rPr>
    </w:lvl>
    <w:lvl w:ilvl="8" w:tplc="6E7859A8" w:tentative="1">
      <w:start w:val="1"/>
      <w:numFmt w:val="bullet"/>
      <w:lvlText w:val=""/>
      <w:lvlJc w:val="left"/>
      <w:pPr>
        <w:tabs>
          <w:tab w:val="num" w:pos="6120"/>
        </w:tabs>
        <w:ind w:left="6120" w:hanging="360"/>
      </w:pPr>
      <w:rPr>
        <w:rFonts w:ascii="Wingdings" w:hAnsi="Wingdings" w:hint="default"/>
      </w:rPr>
    </w:lvl>
  </w:abstractNum>
  <w:num w:numId="1" w16cid:durableId="1720586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62D"/>
    <w:rsid w:val="00001397"/>
    <w:rsid w:val="00003527"/>
    <w:rsid w:val="0003002D"/>
    <w:rsid w:val="00033748"/>
    <w:rsid w:val="000337C4"/>
    <w:rsid w:val="00033FCD"/>
    <w:rsid w:val="000409E0"/>
    <w:rsid w:val="00063F49"/>
    <w:rsid w:val="00066D70"/>
    <w:rsid w:val="000710A8"/>
    <w:rsid w:val="00073904"/>
    <w:rsid w:val="00074CA5"/>
    <w:rsid w:val="00074FE4"/>
    <w:rsid w:val="00082881"/>
    <w:rsid w:val="00086ABB"/>
    <w:rsid w:val="00097520"/>
    <w:rsid w:val="000A40D6"/>
    <w:rsid w:val="000B5F3B"/>
    <w:rsid w:val="000C3C5A"/>
    <w:rsid w:val="000D1498"/>
    <w:rsid w:val="000D2A17"/>
    <w:rsid w:val="000D7055"/>
    <w:rsid w:val="000E2858"/>
    <w:rsid w:val="000E549D"/>
    <w:rsid w:val="000F7E1E"/>
    <w:rsid w:val="0010091E"/>
    <w:rsid w:val="00103ECE"/>
    <w:rsid w:val="00106416"/>
    <w:rsid w:val="00107CF1"/>
    <w:rsid w:val="0011547B"/>
    <w:rsid w:val="00125871"/>
    <w:rsid w:val="00126942"/>
    <w:rsid w:val="00142BC9"/>
    <w:rsid w:val="00146570"/>
    <w:rsid w:val="00152C3B"/>
    <w:rsid w:val="00160027"/>
    <w:rsid w:val="0016127A"/>
    <w:rsid w:val="00165309"/>
    <w:rsid w:val="001741B8"/>
    <w:rsid w:val="001819EF"/>
    <w:rsid w:val="00187D75"/>
    <w:rsid w:val="00191954"/>
    <w:rsid w:val="00192B06"/>
    <w:rsid w:val="00192F24"/>
    <w:rsid w:val="00196112"/>
    <w:rsid w:val="0019614F"/>
    <w:rsid w:val="001A3C20"/>
    <w:rsid w:val="001A4F39"/>
    <w:rsid w:val="001A717B"/>
    <w:rsid w:val="001B5FCF"/>
    <w:rsid w:val="001B627E"/>
    <w:rsid w:val="001C6652"/>
    <w:rsid w:val="001C76CC"/>
    <w:rsid w:val="001D56FF"/>
    <w:rsid w:val="001D7474"/>
    <w:rsid w:val="001E28EC"/>
    <w:rsid w:val="001E3929"/>
    <w:rsid w:val="001F0A16"/>
    <w:rsid w:val="001F43D1"/>
    <w:rsid w:val="002059E3"/>
    <w:rsid w:val="00207704"/>
    <w:rsid w:val="00210462"/>
    <w:rsid w:val="00210B2C"/>
    <w:rsid w:val="002175C0"/>
    <w:rsid w:val="002209C1"/>
    <w:rsid w:val="00233310"/>
    <w:rsid w:val="002373DA"/>
    <w:rsid w:val="00241738"/>
    <w:rsid w:val="00242540"/>
    <w:rsid w:val="00242F99"/>
    <w:rsid w:val="00245018"/>
    <w:rsid w:val="0025180B"/>
    <w:rsid w:val="00262E18"/>
    <w:rsid w:val="00270C14"/>
    <w:rsid w:val="002771D9"/>
    <w:rsid w:val="00280722"/>
    <w:rsid w:val="00283BB3"/>
    <w:rsid w:val="00285A33"/>
    <w:rsid w:val="00287E96"/>
    <w:rsid w:val="002902B6"/>
    <w:rsid w:val="00293124"/>
    <w:rsid w:val="00293440"/>
    <w:rsid w:val="00294EB9"/>
    <w:rsid w:val="0029566B"/>
    <w:rsid w:val="002A2BB3"/>
    <w:rsid w:val="002A4C4C"/>
    <w:rsid w:val="002A4FC7"/>
    <w:rsid w:val="002B04DE"/>
    <w:rsid w:val="002B1023"/>
    <w:rsid w:val="002B16D3"/>
    <w:rsid w:val="002B2A92"/>
    <w:rsid w:val="002C076E"/>
    <w:rsid w:val="002D0972"/>
    <w:rsid w:val="002E0762"/>
    <w:rsid w:val="002E0E25"/>
    <w:rsid w:val="002E12F9"/>
    <w:rsid w:val="002E1A80"/>
    <w:rsid w:val="002E4B67"/>
    <w:rsid w:val="002F15BD"/>
    <w:rsid w:val="002F6567"/>
    <w:rsid w:val="002F7564"/>
    <w:rsid w:val="00302659"/>
    <w:rsid w:val="00302938"/>
    <w:rsid w:val="00306B7B"/>
    <w:rsid w:val="003129B7"/>
    <w:rsid w:val="003132BB"/>
    <w:rsid w:val="00315136"/>
    <w:rsid w:val="00325831"/>
    <w:rsid w:val="00332184"/>
    <w:rsid w:val="0034203E"/>
    <w:rsid w:val="0034514B"/>
    <w:rsid w:val="00350EC8"/>
    <w:rsid w:val="00350F15"/>
    <w:rsid w:val="00352C4E"/>
    <w:rsid w:val="003574DE"/>
    <w:rsid w:val="003616E4"/>
    <w:rsid w:val="0036535D"/>
    <w:rsid w:val="003731AE"/>
    <w:rsid w:val="0038005B"/>
    <w:rsid w:val="00385EA5"/>
    <w:rsid w:val="003927D9"/>
    <w:rsid w:val="00394D08"/>
    <w:rsid w:val="003A355A"/>
    <w:rsid w:val="003A60AB"/>
    <w:rsid w:val="003A6565"/>
    <w:rsid w:val="003A7060"/>
    <w:rsid w:val="003B27E5"/>
    <w:rsid w:val="003B58CA"/>
    <w:rsid w:val="003C5D12"/>
    <w:rsid w:val="003D78B8"/>
    <w:rsid w:val="003E24F0"/>
    <w:rsid w:val="003E3957"/>
    <w:rsid w:val="003E7B1C"/>
    <w:rsid w:val="003E7F01"/>
    <w:rsid w:val="003F1320"/>
    <w:rsid w:val="00403861"/>
    <w:rsid w:val="00405D9F"/>
    <w:rsid w:val="004145F6"/>
    <w:rsid w:val="00421382"/>
    <w:rsid w:val="00427165"/>
    <w:rsid w:val="004326CA"/>
    <w:rsid w:val="00435016"/>
    <w:rsid w:val="0044243A"/>
    <w:rsid w:val="0044504B"/>
    <w:rsid w:val="00467F53"/>
    <w:rsid w:val="004700BF"/>
    <w:rsid w:val="00483120"/>
    <w:rsid w:val="004A2A74"/>
    <w:rsid w:val="004A719C"/>
    <w:rsid w:val="004A75D3"/>
    <w:rsid w:val="004B2ECD"/>
    <w:rsid w:val="004B70D5"/>
    <w:rsid w:val="004C53C2"/>
    <w:rsid w:val="004C55A1"/>
    <w:rsid w:val="004C59E1"/>
    <w:rsid w:val="004D0A01"/>
    <w:rsid w:val="004D6531"/>
    <w:rsid w:val="004D6BFD"/>
    <w:rsid w:val="004E2522"/>
    <w:rsid w:val="004E2995"/>
    <w:rsid w:val="004E2E9B"/>
    <w:rsid w:val="004E6072"/>
    <w:rsid w:val="004E6A41"/>
    <w:rsid w:val="004E768B"/>
    <w:rsid w:val="004F1495"/>
    <w:rsid w:val="004F7FC5"/>
    <w:rsid w:val="00503762"/>
    <w:rsid w:val="00503957"/>
    <w:rsid w:val="00503E18"/>
    <w:rsid w:val="0050405E"/>
    <w:rsid w:val="005041A8"/>
    <w:rsid w:val="00506FD4"/>
    <w:rsid w:val="005112CA"/>
    <w:rsid w:val="00512503"/>
    <w:rsid w:val="00512794"/>
    <w:rsid w:val="00513993"/>
    <w:rsid w:val="00520E15"/>
    <w:rsid w:val="00535932"/>
    <w:rsid w:val="00545C25"/>
    <w:rsid w:val="0055534A"/>
    <w:rsid w:val="005561A8"/>
    <w:rsid w:val="00570188"/>
    <w:rsid w:val="00574E0A"/>
    <w:rsid w:val="00575C13"/>
    <w:rsid w:val="005822E6"/>
    <w:rsid w:val="00590B77"/>
    <w:rsid w:val="0059473E"/>
    <w:rsid w:val="00597476"/>
    <w:rsid w:val="00597963"/>
    <w:rsid w:val="005A0DF0"/>
    <w:rsid w:val="005A35FB"/>
    <w:rsid w:val="005A45F4"/>
    <w:rsid w:val="005A6777"/>
    <w:rsid w:val="005A698F"/>
    <w:rsid w:val="005A7C1A"/>
    <w:rsid w:val="005B29EB"/>
    <w:rsid w:val="005B61E7"/>
    <w:rsid w:val="005D10F9"/>
    <w:rsid w:val="005E01EA"/>
    <w:rsid w:val="005E0643"/>
    <w:rsid w:val="005E1D73"/>
    <w:rsid w:val="005E6B98"/>
    <w:rsid w:val="005E70AE"/>
    <w:rsid w:val="0060320E"/>
    <w:rsid w:val="0061653E"/>
    <w:rsid w:val="00621E51"/>
    <w:rsid w:val="00622326"/>
    <w:rsid w:val="006379A3"/>
    <w:rsid w:val="006433C9"/>
    <w:rsid w:val="0065073A"/>
    <w:rsid w:val="00674484"/>
    <w:rsid w:val="006747CD"/>
    <w:rsid w:val="006764A2"/>
    <w:rsid w:val="00676CAD"/>
    <w:rsid w:val="00681E65"/>
    <w:rsid w:val="00687E3E"/>
    <w:rsid w:val="0069345B"/>
    <w:rsid w:val="006940A7"/>
    <w:rsid w:val="006956C9"/>
    <w:rsid w:val="006A38D5"/>
    <w:rsid w:val="006A5E76"/>
    <w:rsid w:val="006B4344"/>
    <w:rsid w:val="006B55C8"/>
    <w:rsid w:val="006C486F"/>
    <w:rsid w:val="006C4B11"/>
    <w:rsid w:val="006C6E91"/>
    <w:rsid w:val="006E245F"/>
    <w:rsid w:val="006E26DB"/>
    <w:rsid w:val="006E4921"/>
    <w:rsid w:val="006F4F6B"/>
    <w:rsid w:val="007002EB"/>
    <w:rsid w:val="00710B29"/>
    <w:rsid w:val="00711CB1"/>
    <w:rsid w:val="0072285A"/>
    <w:rsid w:val="00723741"/>
    <w:rsid w:val="0073178F"/>
    <w:rsid w:val="007322C7"/>
    <w:rsid w:val="007324E8"/>
    <w:rsid w:val="007420A8"/>
    <w:rsid w:val="007517A4"/>
    <w:rsid w:val="0075187A"/>
    <w:rsid w:val="00755009"/>
    <w:rsid w:val="007620E2"/>
    <w:rsid w:val="00764FDF"/>
    <w:rsid w:val="007751DC"/>
    <w:rsid w:val="00776788"/>
    <w:rsid w:val="00782602"/>
    <w:rsid w:val="007A18B6"/>
    <w:rsid w:val="007A4DC5"/>
    <w:rsid w:val="007B1034"/>
    <w:rsid w:val="007B684E"/>
    <w:rsid w:val="007B7E69"/>
    <w:rsid w:val="007C11AB"/>
    <w:rsid w:val="007C2951"/>
    <w:rsid w:val="007C2BC3"/>
    <w:rsid w:val="007C43EC"/>
    <w:rsid w:val="007C7E1A"/>
    <w:rsid w:val="007C7FD8"/>
    <w:rsid w:val="007E0489"/>
    <w:rsid w:val="007E3F45"/>
    <w:rsid w:val="007F17F6"/>
    <w:rsid w:val="007F3412"/>
    <w:rsid w:val="007F4106"/>
    <w:rsid w:val="007F4788"/>
    <w:rsid w:val="007F66C0"/>
    <w:rsid w:val="007F7E77"/>
    <w:rsid w:val="0080230D"/>
    <w:rsid w:val="00806D57"/>
    <w:rsid w:val="00810477"/>
    <w:rsid w:val="008114E7"/>
    <w:rsid w:val="00813952"/>
    <w:rsid w:val="0081459C"/>
    <w:rsid w:val="008249FA"/>
    <w:rsid w:val="00826CC9"/>
    <w:rsid w:val="00831A64"/>
    <w:rsid w:val="00833590"/>
    <w:rsid w:val="00842FA8"/>
    <w:rsid w:val="00844320"/>
    <w:rsid w:val="00846F37"/>
    <w:rsid w:val="00855D87"/>
    <w:rsid w:val="00860FBF"/>
    <w:rsid w:val="00864B7A"/>
    <w:rsid w:val="008654F9"/>
    <w:rsid w:val="00881E66"/>
    <w:rsid w:val="008927DC"/>
    <w:rsid w:val="008A07A2"/>
    <w:rsid w:val="008A1C94"/>
    <w:rsid w:val="008A31D5"/>
    <w:rsid w:val="008A3BBD"/>
    <w:rsid w:val="008B2189"/>
    <w:rsid w:val="008B2D62"/>
    <w:rsid w:val="008B4434"/>
    <w:rsid w:val="008B7C2D"/>
    <w:rsid w:val="008C132E"/>
    <w:rsid w:val="008C5C97"/>
    <w:rsid w:val="008D3655"/>
    <w:rsid w:val="008D504F"/>
    <w:rsid w:val="008D566A"/>
    <w:rsid w:val="008E0B34"/>
    <w:rsid w:val="008F484F"/>
    <w:rsid w:val="008F7A40"/>
    <w:rsid w:val="0091365F"/>
    <w:rsid w:val="00917CEA"/>
    <w:rsid w:val="00920916"/>
    <w:rsid w:val="00926473"/>
    <w:rsid w:val="00932A48"/>
    <w:rsid w:val="00936493"/>
    <w:rsid w:val="009368D1"/>
    <w:rsid w:val="00937B22"/>
    <w:rsid w:val="00942562"/>
    <w:rsid w:val="00956486"/>
    <w:rsid w:val="0095767D"/>
    <w:rsid w:val="00957C2C"/>
    <w:rsid w:val="00960B85"/>
    <w:rsid w:val="00970684"/>
    <w:rsid w:val="00973406"/>
    <w:rsid w:val="0098061F"/>
    <w:rsid w:val="00981BB7"/>
    <w:rsid w:val="00981E0B"/>
    <w:rsid w:val="00984AB7"/>
    <w:rsid w:val="009860D3"/>
    <w:rsid w:val="00994FA6"/>
    <w:rsid w:val="009A32DF"/>
    <w:rsid w:val="009A545B"/>
    <w:rsid w:val="009A7E3D"/>
    <w:rsid w:val="009B330D"/>
    <w:rsid w:val="009B41F5"/>
    <w:rsid w:val="009C68DD"/>
    <w:rsid w:val="009D0BD7"/>
    <w:rsid w:val="009E2525"/>
    <w:rsid w:val="009E53D9"/>
    <w:rsid w:val="009F4971"/>
    <w:rsid w:val="009F593B"/>
    <w:rsid w:val="009F7044"/>
    <w:rsid w:val="00A161AC"/>
    <w:rsid w:val="00A202B3"/>
    <w:rsid w:val="00A313A1"/>
    <w:rsid w:val="00A407EF"/>
    <w:rsid w:val="00A40DA4"/>
    <w:rsid w:val="00A42C9A"/>
    <w:rsid w:val="00A551A0"/>
    <w:rsid w:val="00A6591D"/>
    <w:rsid w:val="00A65E22"/>
    <w:rsid w:val="00A777B8"/>
    <w:rsid w:val="00A854A8"/>
    <w:rsid w:val="00A934F9"/>
    <w:rsid w:val="00A937DD"/>
    <w:rsid w:val="00A94A30"/>
    <w:rsid w:val="00AA7D80"/>
    <w:rsid w:val="00AB6D33"/>
    <w:rsid w:val="00AC54EA"/>
    <w:rsid w:val="00AD157D"/>
    <w:rsid w:val="00AE2B91"/>
    <w:rsid w:val="00AE7084"/>
    <w:rsid w:val="00AE70BD"/>
    <w:rsid w:val="00AF0D42"/>
    <w:rsid w:val="00AF1272"/>
    <w:rsid w:val="00AF34ED"/>
    <w:rsid w:val="00AF369E"/>
    <w:rsid w:val="00AF6326"/>
    <w:rsid w:val="00AF7B16"/>
    <w:rsid w:val="00B030F7"/>
    <w:rsid w:val="00B154BA"/>
    <w:rsid w:val="00B20DAA"/>
    <w:rsid w:val="00B22182"/>
    <w:rsid w:val="00B22E7C"/>
    <w:rsid w:val="00B23C35"/>
    <w:rsid w:val="00B23FB1"/>
    <w:rsid w:val="00B243E8"/>
    <w:rsid w:val="00B41AAB"/>
    <w:rsid w:val="00B424FB"/>
    <w:rsid w:val="00B468B8"/>
    <w:rsid w:val="00B501C7"/>
    <w:rsid w:val="00B60F34"/>
    <w:rsid w:val="00B64A0D"/>
    <w:rsid w:val="00B70E08"/>
    <w:rsid w:val="00B70FA3"/>
    <w:rsid w:val="00B82A27"/>
    <w:rsid w:val="00B847F6"/>
    <w:rsid w:val="00B85AED"/>
    <w:rsid w:val="00B902BC"/>
    <w:rsid w:val="00BB0271"/>
    <w:rsid w:val="00BB044D"/>
    <w:rsid w:val="00BB0B06"/>
    <w:rsid w:val="00BB12CF"/>
    <w:rsid w:val="00BB2F48"/>
    <w:rsid w:val="00BC293D"/>
    <w:rsid w:val="00BC2D4B"/>
    <w:rsid w:val="00BC5B78"/>
    <w:rsid w:val="00BC6D51"/>
    <w:rsid w:val="00BD2F57"/>
    <w:rsid w:val="00BD48AE"/>
    <w:rsid w:val="00BE603F"/>
    <w:rsid w:val="00BF53A1"/>
    <w:rsid w:val="00C004D2"/>
    <w:rsid w:val="00C0369A"/>
    <w:rsid w:val="00C1036E"/>
    <w:rsid w:val="00C20B1E"/>
    <w:rsid w:val="00C23B56"/>
    <w:rsid w:val="00C40853"/>
    <w:rsid w:val="00C41089"/>
    <w:rsid w:val="00C50A6B"/>
    <w:rsid w:val="00C5197E"/>
    <w:rsid w:val="00C51D1E"/>
    <w:rsid w:val="00C6007C"/>
    <w:rsid w:val="00C604D1"/>
    <w:rsid w:val="00C6464C"/>
    <w:rsid w:val="00C67FAE"/>
    <w:rsid w:val="00C8234E"/>
    <w:rsid w:val="00C9176A"/>
    <w:rsid w:val="00C94717"/>
    <w:rsid w:val="00C97E64"/>
    <w:rsid w:val="00CA085B"/>
    <w:rsid w:val="00CA0A04"/>
    <w:rsid w:val="00CA2ACB"/>
    <w:rsid w:val="00CA5D56"/>
    <w:rsid w:val="00CA67C3"/>
    <w:rsid w:val="00CB2699"/>
    <w:rsid w:val="00CB314D"/>
    <w:rsid w:val="00CB5493"/>
    <w:rsid w:val="00CB65B9"/>
    <w:rsid w:val="00CC509D"/>
    <w:rsid w:val="00CC6482"/>
    <w:rsid w:val="00CC7204"/>
    <w:rsid w:val="00CD3729"/>
    <w:rsid w:val="00CD59B5"/>
    <w:rsid w:val="00CD79CD"/>
    <w:rsid w:val="00CE2013"/>
    <w:rsid w:val="00CF240F"/>
    <w:rsid w:val="00CF2FB5"/>
    <w:rsid w:val="00CF4D28"/>
    <w:rsid w:val="00CF5D45"/>
    <w:rsid w:val="00CF6C14"/>
    <w:rsid w:val="00D01C4C"/>
    <w:rsid w:val="00D039B5"/>
    <w:rsid w:val="00D04823"/>
    <w:rsid w:val="00D20092"/>
    <w:rsid w:val="00D20A08"/>
    <w:rsid w:val="00D224D0"/>
    <w:rsid w:val="00D3218C"/>
    <w:rsid w:val="00D34EFC"/>
    <w:rsid w:val="00D46443"/>
    <w:rsid w:val="00D560BC"/>
    <w:rsid w:val="00D60E82"/>
    <w:rsid w:val="00D67811"/>
    <w:rsid w:val="00D7462D"/>
    <w:rsid w:val="00D75701"/>
    <w:rsid w:val="00D9109D"/>
    <w:rsid w:val="00D93505"/>
    <w:rsid w:val="00DB1C0C"/>
    <w:rsid w:val="00DB75A6"/>
    <w:rsid w:val="00DC5277"/>
    <w:rsid w:val="00DD15BF"/>
    <w:rsid w:val="00DE13D5"/>
    <w:rsid w:val="00DE1B3C"/>
    <w:rsid w:val="00DE50D3"/>
    <w:rsid w:val="00DE7059"/>
    <w:rsid w:val="00DE72CA"/>
    <w:rsid w:val="00DE7FB8"/>
    <w:rsid w:val="00DF0B6A"/>
    <w:rsid w:val="00DF35BB"/>
    <w:rsid w:val="00DF67ED"/>
    <w:rsid w:val="00E017C2"/>
    <w:rsid w:val="00E050F4"/>
    <w:rsid w:val="00E05517"/>
    <w:rsid w:val="00E214CF"/>
    <w:rsid w:val="00E271E8"/>
    <w:rsid w:val="00E30809"/>
    <w:rsid w:val="00E31EF7"/>
    <w:rsid w:val="00E32CDE"/>
    <w:rsid w:val="00E400B5"/>
    <w:rsid w:val="00E40431"/>
    <w:rsid w:val="00E42F24"/>
    <w:rsid w:val="00E445E5"/>
    <w:rsid w:val="00E553DB"/>
    <w:rsid w:val="00E56DAD"/>
    <w:rsid w:val="00E606D0"/>
    <w:rsid w:val="00E64AEC"/>
    <w:rsid w:val="00E70A0B"/>
    <w:rsid w:val="00E7207B"/>
    <w:rsid w:val="00E8168B"/>
    <w:rsid w:val="00E92326"/>
    <w:rsid w:val="00E9324C"/>
    <w:rsid w:val="00EA2C8C"/>
    <w:rsid w:val="00EB372F"/>
    <w:rsid w:val="00EB4A00"/>
    <w:rsid w:val="00EB61BD"/>
    <w:rsid w:val="00EB6391"/>
    <w:rsid w:val="00EC4E8F"/>
    <w:rsid w:val="00EC6341"/>
    <w:rsid w:val="00ED17E0"/>
    <w:rsid w:val="00EE296E"/>
    <w:rsid w:val="00EE32AF"/>
    <w:rsid w:val="00EF3962"/>
    <w:rsid w:val="00EF7F2F"/>
    <w:rsid w:val="00F023B0"/>
    <w:rsid w:val="00F025FF"/>
    <w:rsid w:val="00F125FD"/>
    <w:rsid w:val="00F15C89"/>
    <w:rsid w:val="00F1614D"/>
    <w:rsid w:val="00F16B69"/>
    <w:rsid w:val="00F16D73"/>
    <w:rsid w:val="00F17F64"/>
    <w:rsid w:val="00F219D7"/>
    <w:rsid w:val="00F24B6E"/>
    <w:rsid w:val="00F32C90"/>
    <w:rsid w:val="00F36BB6"/>
    <w:rsid w:val="00F4201A"/>
    <w:rsid w:val="00F43BE4"/>
    <w:rsid w:val="00F47F00"/>
    <w:rsid w:val="00F54585"/>
    <w:rsid w:val="00F56B01"/>
    <w:rsid w:val="00F63B35"/>
    <w:rsid w:val="00F90889"/>
    <w:rsid w:val="00FA4C9D"/>
    <w:rsid w:val="00FB1763"/>
    <w:rsid w:val="00FB2A84"/>
    <w:rsid w:val="00FB4F57"/>
    <w:rsid w:val="00FC4A4D"/>
    <w:rsid w:val="00FD1245"/>
    <w:rsid w:val="00FD1824"/>
    <w:rsid w:val="00FD58B8"/>
    <w:rsid w:val="00FE0A1C"/>
    <w:rsid w:val="00FF1082"/>
    <w:rsid w:val="00FF2AE1"/>
    <w:rsid w:val="00FF3FEE"/>
    <w:rsid w:val="00FF4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F67FE3"/>
  <w15:docId w15:val="{BDBAF982-FD22-4068-9646-3FBBB234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25D3"/>
    <w:rPr>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462D"/>
    <w:pPr>
      <w:tabs>
        <w:tab w:val="center" w:pos="4819"/>
        <w:tab w:val="right" w:pos="9638"/>
      </w:tabs>
    </w:pPr>
  </w:style>
  <w:style w:type="paragraph" w:styleId="Footer">
    <w:name w:val="footer"/>
    <w:basedOn w:val="Normal"/>
    <w:link w:val="FooterChar"/>
    <w:uiPriority w:val="99"/>
    <w:rsid w:val="00D7462D"/>
    <w:pPr>
      <w:tabs>
        <w:tab w:val="center" w:pos="4819"/>
        <w:tab w:val="right" w:pos="9638"/>
      </w:tabs>
    </w:pPr>
    <w:rPr>
      <w:lang w:val="x-none" w:eastAsia="x-none"/>
    </w:rPr>
  </w:style>
  <w:style w:type="paragraph" w:styleId="NormalWeb">
    <w:name w:val="Normal (Web)"/>
    <w:basedOn w:val="Normal"/>
    <w:rsid w:val="007F4809"/>
    <w:pPr>
      <w:spacing w:before="100" w:beforeAutospacing="1" w:after="100" w:afterAutospacing="1"/>
    </w:pPr>
  </w:style>
  <w:style w:type="character" w:styleId="Strong">
    <w:name w:val="Strong"/>
    <w:qFormat/>
    <w:rsid w:val="007F4809"/>
    <w:rPr>
      <w:b/>
      <w:bCs/>
    </w:rPr>
  </w:style>
  <w:style w:type="character" w:customStyle="1" w:styleId="FooterChar">
    <w:name w:val="Footer Char"/>
    <w:link w:val="Footer"/>
    <w:uiPriority w:val="99"/>
    <w:rsid w:val="00AF0D42"/>
    <w:rPr>
      <w:sz w:val="24"/>
      <w:szCs w:val="24"/>
    </w:rPr>
  </w:style>
  <w:style w:type="paragraph" w:styleId="BalloonText">
    <w:name w:val="Balloon Text"/>
    <w:basedOn w:val="Normal"/>
    <w:link w:val="BalloonTextChar"/>
    <w:rsid w:val="008F7A40"/>
    <w:rPr>
      <w:rFonts w:ascii="Tahoma" w:hAnsi="Tahoma"/>
      <w:sz w:val="16"/>
      <w:szCs w:val="16"/>
      <w:lang w:val="x-none" w:eastAsia="x-none"/>
    </w:rPr>
  </w:style>
  <w:style w:type="character" w:customStyle="1" w:styleId="BalloonTextChar">
    <w:name w:val="Balloon Text Char"/>
    <w:link w:val="BalloonText"/>
    <w:rsid w:val="008F7A40"/>
    <w:rPr>
      <w:rFonts w:ascii="Tahoma" w:hAnsi="Tahoma" w:cs="Tahoma"/>
      <w:sz w:val="16"/>
      <w:szCs w:val="16"/>
    </w:rPr>
  </w:style>
  <w:style w:type="character" w:styleId="Emphasis">
    <w:name w:val="Emphasis"/>
    <w:qFormat/>
    <w:rsid w:val="000337C4"/>
    <w:rPr>
      <w:i/>
      <w:iCs/>
    </w:rPr>
  </w:style>
  <w:style w:type="character" w:styleId="Hyperlink">
    <w:name w:val="Hyperlink"/>
    <w:uiPriority w:val="99"/>
    <w:unhideWhenUsed/>
    <w:rsid w:val="00E400B5"/>
    <w:rPr>
      <w:color w:val="0000FF"/>
      <w:u w:val="single"/>
    </w:rPr>
  </w:style>
  <w:style w:type="character" w:styleId="CommentReference">
    <w:name w:val="annotation reference"/>
    <w:rsid w:val="00352C4E"/>
    <w:rPr>
      <w:sz w:val="16"/>
      <w:szCs w:val="16"/>
    </w:rPr>
  </w:style>
  <w:style w:type="paragraph" w:styleId="CommentText">
    <w:name w:val="annotation text"/>
    <w:basedOn w:val="Normal"/>
    <w:link w:val="CommentTextChar"/>
    <w:rsid w:val="00352C4E"/>
    <w:rPr>
      <w:sz w:val="20"/>
      <w:szCs w:val="20"/>
    </w:rPr>
  </w:style>
  <w:style w:type="character" w:customStyle="1" w:styleId="CommentTextChar">
    <w:name w:val="Comment Text Char"/>
    <w:basedOn w:val="DefaultParagraphFont"/>
    <w:link w:val="CommentText"/>
    <w:rsid w:val="00352C4E"/>
  </w:style>
  <w:style w:type="paragraph" w:styleId="CommentSubject">
    <w:name w:val="annotation subject"/>
    <w:basedOn w:val="CommentText"/>
    <w:next w:val="CommentText"/>
    <w:link w:val="CommentSubjectChar"/>
    <w:rsid w:val="00352C4E"/>
    <w:rPr>
      <w:b/>
      <w:bCs/>
      <w:lang w:val="x-none" w:eastAsia="x-none"/>
    </w:rPr>
  </w:style>
  <w:style w:type="character" w:customStyle="1" w:styleId="CommentSubjectChar">
    <w:name w:val="Comment Subject Char"/>
    <w:link w:val="CommentSubject"/>
    <w:rsid w:val="00352C4E"/>
    <w:rPr>
      <w:b/>
      <w:bCs/>
    </w:rPr>
  </w:style>
  <w:style w:type="paragraph" w:styleId="HTMLPreformatted">
    <w:name w:val="HTML Preformatted"/>
    <w:basedOn w:val="Normal"/>
    <w:link w:val="HTMLPreformattedChar"/>
    <w:uiPriority w:val="99"/>
    <w:unhideWhenUsed/>
    <w:rsid w:val="00C4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C41089"/>
    <w:rPr>
      <w:rFonts w:ascii="Courier New" w:hAnsi="Courier New" w:cs="Courier New"/>
    </w:rPr>
  </w:style>
  <w:style w:type="paragraph" w:styleId="PlainText">
    <w:name w:val="Plain Text"/>
    <w:basedOn w:val="Normal"/>
    <w:link w:val="PlainTextChar"/>
    <w:uiPriority w:val="99"/>
    <w:unhideWhenUsed/>
    <w:rsid w:val="006956C9"/>
    <w:rPr>
      <w:rFonts w:ascii="Calibri" w:eastAsia="Calibri" w:hAnsi="Calibri"/>
      <w:sz w:val="22"/>
      <w:szCs w:val="21"/>
      <w:lang w:eastAsia="en-US"/>
    </w:rPr>
  </w:style>
  <w:style w:type="character" w:customStyle="1" w:styleId="PlainTextChar">
    <w:name w:val="Plain Text Char"/>
    <w:link w:val="PlainText"/>
    <w:uiPriority w:val="99"/>
    <w:rsid w:val="006956C9"/>
    <w:rPr>
      <w:rFonts w:ascii="Calibri" w:eastAsia="Calibri" w:hAnsi="Calibri" w:cs="Times New Roman"/>
      <w:sz w:val="22"/>
      <w:szCs w:val="21"/>
      <w:lang w:eastAsia="en-US"/>
    </w:rPr>
  </w:style>
  <w:style w:type="character" w:customStyle="1" w:styleId="Menzionenonrisolta1">
    <w:name w:val="Menzione non risolta1"/>
    <w:basedOn w:val="DefaultParagraphFont"/>
    <w:uiPriority w:val="99"/>
    <w:semiHidden/>
    <w:unhideWhenUsed/>
    <w:rsid w:val="00DF6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2860">
      <w:bodyDiv w:val="1"/>
      <w:marLeft w:val="0"/>
      <w:marRight w:val="0"/>
      <w:marTop w:val="0"/>
      <w:marBottom w:val="0"/>
      <w:divBdr>
        <w:top w:val="none" w:sz="0" w:space="0" w:color="auto"/>
        <w:left w:val="none" w:sz="0" w:space="0" w:color="auto"/>
        <w:bottom w:val="none" w:sz="0" w:space="0" w:color="auto"/>
        <w:right w:val="none" w:sz="0" w:space="0" w:color="auto"/>
      </w:divBdr>
    </w:div>
    <w:div w:id="145977422">
      <w:bodyDiv w:val="1"/>
      <w:marLeft w:val="0"/>
      <w:marRight w:val="0"/>
      <w:marTop w:val="0"/>
      <w:marBottom w:val="0"/>
      <w:divBdr>
        <w:top w:val="none" w:sz="0" w:space="0" w:color="auto"/>
        <w:left w:val="none" w:sz="0" w:space="0" w:color="auto"/>
        <w:bottom w:val="none" w:sz="0" w:space="0" w:color="auto"/>
        <w:right w:val="none" w:sz="0" w:space="0" w:color="auto"/>
      </w:divBdr>
    </w:div>
    <w:div w:id="174618861">
      <w:bodyDiv w:val="1"/>
      <w:marLeft w:val="0"/>
      <w:marRight w:val="0"/>
      <w:marTop w:val="0"/>
      <w:marBottom w:val="0"/>
      <w:divBdr>
        <w:top w:val="none" w:sz="0" w:space="0" w:color="auto"/>
        <w:left w:val="none" w:sz="0" w:space="0" w:color="auto"/>
        <w:bottom w:val="none" w:sz="0" w:space="0" w:color="auto"/>
        <w:right w:val="none" w:sz="0" w:space="0" w:color="auto"/>
      </w:divBdr>
    </w:div>
    <w:div w:id="281886265">
      <w:bodyDiv w:val="1"/>
      <w:marLeft w:val="0"/>
      <w:marRight w:val="0"/>
      <w:marTop w:val="0"/>
      <w:marBottom w:val="0"/>
      <w:divBdr>
        <w:top w:val="none" w:sz="0" w:space="0" w:color="auto"/>
        <w:left w:val="none" w:sz="0" w:space="0" w:color="auto"/>
        <w:bottom w:val="none" w:sz="0" w:space="0" w:color="auto"/>
        <w:right w:val="none" w:sz="0" w:space="0" w:color="auto"/>
      </w:divBdr>
    </w:div>
    <w:div w:id="422266162">
      <w:bodyDiv w:val="1"/>
      <w:marLeft w:val="0"/>
      <w:marRight w:val="0"/>
      <w:marTop w:val="0"/>
      <w:marBottom w:val="0"/>
      <w:divBdr>
        <w:top w:val="none" w:sz="0" w:space="0" w:color="auto"/>
        <w:left w:val="none" w:sz="0" w:space="0" w:color="auto"/>
        <w:bottom w:val="none" w:sz="0" w:space="0" w:color="auto"/>
        <w:right w:val="none" w:sz="0" w:space="0" w:color="auto"/>
      </w:divBdr>
    </w:div>
    <w:div w:id="433718057">
      <w:bodyDiv w:val="1"/>
      <w:marLeft w:val="0"/>
      <w:marRight w:val="0"/>
      <w:marTop w:val="0"/>
      <w:marBottom w:val="0"/>
      <w:divBdr>
        <w:top w:val="none" w:sz="0" w:space="0" w:color="auto"/>
        <w:left w:val="none" w:sz="0" w:space="0" w:color="auto"/>
        <w:bottom w:val="none" w:sz="0" w:space="0" w:color="auto"/>
        <w:right w:val="none" w:sz="0" w:space="0" w:color="auto"/>
      </w:divBdr>
    </w:div>
    <w:div w:id="434861832">
      <w:bodyDiv w:val="1"/>
      <w:marLeft w:val="0"/>
      <w:marRight w:val="0"/>
      <w:marTop w:val="0"/>
      <w:marBottom w:val="0"/>
      <w:divBdr>
        <w:top w:val="none" w:sz="0" w:space="0" w:color="auto"/>
        <w:left w:val="none" w:sz="0" w:space="0" w:color="auto"/>
        <w:bottom w:val="none" w:sz="0" w:space="0" w:color="auto"/>
        <w:right w:val="none" w:sz="0" w:space="0" w:color="auto"/>
      </w:divBdr>
    </w:div>
    <w:div w:id="537470553">
      <w:bodyDiv w:val="1"/>
      <w:marLeft w:val="0"/>
      <w:marRight w:val="0"/>
      <w:marTop w:val="0"/>
      <w:marBottom w:val="0"/>
      <w:divBdr>
        <w:top w:val="none" w:sz="0" w:space="0" w:color="auto"/>
        <w:left w:val="none" w:sz="0" w:space="0" w:color="auto"/>
        <w:bottom w:val="none" w:sz="0" w:space="0" w:color="auto"/>
        <w:right w:val="none" w:sz="0" w:space="0" w:color="auto"/>
      </w:divBdr>
    </w:div>
    <w:div w:id="582418514">
      <w:bodyDiv w:val="1"/>
      <w:marLeft w:val="0"/>
      <w:marRight w:val="0"/>
      <w:marTop w:val="0"/>
      <w:marBottom w:val="0"/>
      <w:divBdr>
        <w:top w:val="none" w:sz="0" w:space="0" w:color="auto"/>
        <w:left w:val="none" w:sz="0" w:space="0" w:color="auto"/>
        <w:bottom w:val="none" w:sz="0" w:space="0" w:color="auto"/>
        <w:right w:val="none" w:sz="0" w:space="0" w:color="auto"/>
      </w:divBdr>
    </w:div>
    <w:div w:id="591008417">
      <w:bodyDiv w:val="1"/>
      <w:marLeft w:val="0"/>
      <w:marRight w:val="0"/>
      <w:marTop w:val="0"/>
      <w:marBottom w:val="0"/>
      <w:divBdr>
        <w:top w:val="none" w:sz="0" w:space="0" w:color="auto"/>
        <w:left w:val="none" w:sz="0" w:space="0" w:color="auto"/>
        <w:bottom w:val="none" w:sz="0" w:space="0" w:color="auto"/>
        <w:right w:val="none" w:sz="0" w:space="0" w:color="auto"/>
      </w:divBdr>
    </w:div>
    <w:div w:id="594167483">
      <w:bodyDiv w:val="1"/>
      <w:marLeft w:val="0"/>
      <w:marRight w:val="0"/>
      <w:marTop w:val="0"/>
      <w:marBottom w:val="0"/>
      <w:divBdr>
        <w:top w:val="none" w:sz="0" w:space="0" w:color="auto"/>
        <w:left w:val="none" w:sz="0" w:space="0" w:color="auto"/>
        <w:bottom w:val="none" w:sz="0" w:space="0" w:color="auto"/>
        <w:right w:val="none" w:sz="0" w:space="0" w:color="auto"/>
      </w:divBdr>
      <w:divsChild>
        <w:div w:id="1132603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91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79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258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236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39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70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635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01462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519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374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353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3611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25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825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31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5341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717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3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32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3444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457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072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456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8999480">
      <w:bodyDiv w:val="1"/>
      <w:marLeft w:val="0"/>
      <w:marRight w:val="0"/>
      <w:marTop w:val="0"/>
      <w:marBottom w:val="0"/>
      <w:divBdr>
        <w:top w:val="none" w:sz="0" w:space="0" w:color="auto"/>
        <w:left w:val="none" w:sz="0" w:space="0" w:color="auto"/>
        <w:bottom w:val="none" w:sz="0" w:space="0" w:color="auto"/>
        <w:right w:val="none" w:sz="0" w:space="0" w:color="auto"/>
      </w:divBdr>
    </w:div>
    <w:div w:id="768544069">
      <w:bodyDiv w:val="1"/>
      <w:marLeft w:val="0"/>
      <w:marRight w:val="0"/>
      <w:marTop w:val="0"/>
      <w:marBottom w:val="0"/>
      <w:divBdr>
        <w:top w:val="none" w:sz="0" w:space="0" w:color="auto"/>
        <w:left w:val="none" w:sz="0" w:space="0" w:color="auto"/>
        <w:bottom w:val="none" w:sz="0" w:space="0" w:color="auto"/>
        <w:right w:val="none" w:sz="0" w:space="0" w:color="auto"/>
      </w:divBdr>
    </w:div>
    <w:div w:id="802311815">
      <w:bodyDiv w:val="1"/>
      <w:marLeft w:val="0"/>
      <w:marRight w:val="0"/>
      <w:marTop w:val="0"/>
      <w:marBottom w:val="0"/>
      <w:divBdr>
        <w:top w:val="none" w:sz="0" w:space="0" w:color="auto"/>
        <w:left w:val="none" w:sz="0" w:space="0" w:color="auto"/>
        <w:bottom w:val="none" w:sz="0" w:space="0" w:color="auto"/>
        <w:right w:val="none" w:sz="0" w:space="0" w:color="auto"/>
      </w:divBdr>
    </w:div>
    <w:div w:id="993336096">
      <w:bodyDiv w:val="1"/>
      <w:marLeft w:val="0"/>
      <w:marRight w:val="0"/>
      <w:marTop w:val="0"/>
      <w:marBottom w:val="0"/>
      <w:divBdr>
        <w:top w:val="none" w:sz="0" w:space="0" w:color="auto"/>
        <w:left w:val="none" w:sz="0" w:space="0" w:color="auto"/>
        <w:bottom w:val="none" w:sz="0" w:space="0" w:color="auto"/>
        <w:right w:val="none" w:sz="0" w:space="0" w:color="auto"/>
      </w:divBdr>
    </w:div>
    <w:div w:id="1138691942">
      <w:bodyDiv w:val="1"/>
      <w:marLeft w:val="0"/>
      <w:marRight w:val="0"/>
      <w:marTop w:val="0"/>
      <w:marBottom w:val="0"/>
      <w:divBdr>
        <w:top w:val="none" w:sz="0" w:space="0" w:color="auto"/>
        <w:left w:val="none" w:sz="0" w:space="0" w:color="auto"/>
        <w:bottom w:val="none" w:sz="0" w:space="0" w:color="auto"/>
        <w:right w:val="none" w:sz="0" w:space="0" w:color="auto"/>
      </w:divBdr>
    </w:div>
    <w:div w:id="1288122698">
      <w:bodyDiv w:val="1"/>
      <w:marLeft w:val="0"/>
      <w:marRight w:val="0"/>
      <w:marTop w:val="0"/>
      <w:marBottom w:val="0"/>
      <w:divBdr>
        <w:top w:val="none" w:sz="0" w:space="0" w:color="auto"/>
        <w:left w:val="none" w:sz="0" w:space="0" w:color="auto"/>
        <w:bottom w:val="none" w:sz="0" w:space="0" w:color="auto"/>
        <w:right w:val="none" w:sz="0" w:space="0" w:color="auto"/>
      </w:divBdr>
    </w:div>
    <w:div w:id="1350639635">
      <w:bodyDiv w:val="1"/>
      <w:marLeft w:val="0"/>
      <w:marRight w:val="0"/>
      <w:marTop w:val="0"/>
      <w:marBottom w:val="0"/>
      <w:divBdr>
        <w:top w:val="none" w:sz="0" w:space="0" w:color="auto"/>
        <w:left w:val="none" w:sz="0" w:space="0" w:color="auto"/>
        <w:bottom w:val="none" w:sz="0" w:space="0" w:color="auto"/>
        <w:right w:val="none" w:sz="0" w:space="0" w:color="auto"/>
      </w:divBdr>
    </w:div>
    <w:div w:id="1359090277">
      <w:bodyDiv w:val="1"/>
      <w:marLeft w:val="0"/>
      <w:marRight w:val="0"/>
      <w:marTop w:val="0"/>
      <w:marBottom w:val="0"/>
      <w:divBdr>
        <w:top w:val="none" w:sz="0" w:space="0" w:color="auto"/>
        <w:left w:val="none" w:sz="0" w:space="0" w:color="auto"/>
        <w:bottom w:val="none" w:sz="0" w:space="0" w:color="auto"/>
        <w:right w:val="none" w:sz="0" w:space="0" w:color="auto"/>
      </w:divBdr>
    </w:div>
    <w:div w:id="1511719972">
      <w:bodyDiv w:val="1"/>
      <w:marLeft w:val="0"/>
      <w:marRight w:val="0"/>
      <w:marTop w:val="0"/>
      <w:marBottom w:val="0"/>
      <w:divBdr>
        <w:top w:val="none" w:sz="0" w:space="0" w:color="auto"/>
        <w:left w:val="none" w:sz="0" w:space="0" w:color="auto"/>
        <w:bottom w:val="none" w:sz="0" w:space="0" w:color="auto"/>
        <w:right w:val="none" w:sz="0" w:space="0" w:color="auto"/>
      </w:divBdr>
    </w:div>
    <w:div w:id="1976834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ederunacoma.wetransfer.com/downloads/dac638e37ae05bec6841b8c71715347020220112131208/a088eb07fd8d6b89c98a4566009b12eb20220112131208/d82f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497</Words>
  <Characters>2839</Characters>
  <Application>Microsoft Office Word</Application>
  <DocSecurity>0</DocSecurity>
  <Lines>23</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Comunicato Stampa</vt:lpstr>
      <vt:lpstr>Comunicato Stampa</vt:lpstr>
    </vt:vector>
  </TitlesOfParts>
  <Company>Hewlett-Packard Company</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Nome utente</dc:creator>
  <cp:keywords>, docId:9DA2BFA85F2ABF9AC9F566412F77A82E</cp:keywords>
  <cp:lastModifiedBy>Robert C</cp:lastModifiedBy>
  <cp:revision>4</cp:revision>
  <cp:lastPrinted>2022-04-14T12:06:00Z</cp:lastPrinted>
  <dcterms:created xsi:type="dcterms:W3CDTF">2022-04-14T09:48:00Z</dcterms:created>
  <dcterms:modified xsi:type="dcterms:W3CDTF">2022-04-18T07:59:00Z</dcterms:modified>
</cp:coreProperties>
</file>