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4C27" w14:textId="77777777" w:rsidR="00942CDF" w:rsidRDefault="00000000">
      <w:pPr>
        <w:ind w:left="2127"/>
        <w:jc w:val="both"/>
        <w:rPr>
          <w:i/>
          <w:sz w:val="25"/>
          <w:szCs w:val="25"/>
        </w:rPr>
      </w:pPr>
      <w:r>
        <w:rPr>
          <w:i/>
          <w:sz w:val="25"/>
          <w:szCs w:val="25"/>
        </w:rPr>
        <w:t>Press release</w:t>
      </w:r>
    </w:p>
    <w:p w14:paraId="0CF245EB" w14:textId="77777777" w:rsidR="00C62CC9" w:rsidRPr="00B3447A" w:rsidRDefault="00C62CC9" w:rsidP="006379A3">
      <w:pPr>
        <w:ind w:left="2127"/>
        <w:jc w:val="both"/>
        <w:rPr>
          <w:i/>
          <w:sz w:val="10"/>
          <w:szCs w:val="10"/>
        </w:rPr>
      </w:pPr>
    </w:p>
    <w:p w14:paraId="4571025E" w14:textId="77777777" w:rsidR="00942CDF" w:rsidRDefault="00000000">
      <w:pPr>
        <w:ind w:left="2127"/>
        <w:jc w:val="both"/>
        <w:rPr>
          <w:b/>
          <w:bCs/>
          <w:sz w:val="28"/>
          <w:szCs w:val="28"/>
        </w:rPr>
      </w:pPr>
      <w:r w:rsidRPr="00B266DB">
        <w:rPr>
          <w:b/>
          <w:bCs/>
          <w:sz w:val="28"/>
          <w:szCs w:val="28"/>
        </w:rPr>
        <w:t>Agricultural machinery: the Italian market holding up well</w:t>
      </w:r>
    </w:p>
    <w:p w14:paraId="1B749A41" w14:textId="77777777" w:rsidR="00C62CC9" w:rsidRPr="00B3447A" w:rsidRDefault="00C62CC9" w:rsidP="00C62CC9">
      <w:pPr>
        <w:ind w:left="2127"/>
        <w:jc w:val="both"/>
        <w:rPr>
          <w:b/>
          <w:bCs/>
          <w:sz w:val="10"/>
          <w:szCs w:val="10"/>
        </w:rPr>
      </w:pPr>
    </w:p>
    <w:p w14:paraId="634E7BBD" w14:textId="77777777" w:rsidR="00942CDF" w:rsidRDefault="00000000">
      <w:pPr>
        <w:ind w:left="2127"/>
        <w:jc w:val="both"/>
        <w:rPr>
          <w:b/>
          <w:bCs/>
          <w:i/>
          <w:iCs/>
        </w:rPr>
      </w:pPr>
      <w:r w:rsidRPr="00B266DB">
        <w:rPr>
          <w:b/>
          <w:bCs/>
          <w:i/>
          <w:iCs/>
        </w:rPr>
        <w:t xml:space="preserve">Registration figures indicate a drop in the first five months of 2022, but still high sales volumes. Tractors are down 11% compared to the same period in 2021, but remain well above (+13%) the average of the last four years. Manufacturers' President Alessandro Malavolti speaks of a "technical downturn", due not to an actual drop in demand but to problems in the supply chain that have slowed down the pace of delivery of mechanical equipment.  </w:t>
      </w:r>
    </w:p>
    <w:p w14:paraId="54EDF07A" w14:textId="7B113EB7" w:rsidR="00927E3B" w:rsidRPr="00B266DB" w:rsidRDefault="00927E3B" w:rsidP="00C62CC9">
      <w:pPr>
        <w:ind w:left="2127"/>
        <w:jc w:val="both"/>
        <w:rPr>
          <w:b/>
          <w:bCs/>
          <w:i/>
          <w:iCs/>
        </w:rPr>
      </w:pPr>
    </w:p>
    <w:p w14:paraId="472F6AF6" w14:textId="08D367FB" w:rsidR="00942CDF" w:rsidRDefault="00000000">
      <w:pPr>
        <w:ind w:left="2127"/>
        <w:jc w:val="both"/>
      </w:pPr>
      <w:r w:rsidRPr="00B266DB">
        <w:t xml:space="preserve">In the first five months of this year, the agricultural machinery market in Italy recorded a downturn compared to the same period in 2021, but sales volumes nevertheless remained high. After last year's record results, when sales of tractors grew by 36% (24,400 units registered) and substantial increases were also recorded for combine harvesters (+30%), tractors with loading platforms (+19.7%), trailers (+20.4%) and telehandlers (+56%), in the period January-May 2022 </w:t>
      </w:r>
      <w:r w:rsidR="00927E3B">
        <w:t xml:space="preserve">- </w:t>
      </w:r>
      <w:r w:rsidRPr="00B266DB">
        <w:t xml:space="preserve">according to data provided by the Ministry of Transport and processed by FederUnacoma - </w:t>
      </w:r>
      <w:r w:rsidR="003268AC">
        <w:t xml:space="preserve">declines were </w:t>
      </w:r>
      <w:r w:rsidRPr="00B266DB">
        <w:t xml:space="preserve">recorded </w:t>
      </w:r>
      <w:r w:rsidR="003268AC">
        <w:t xml:space="preserve">for all types. Tractors recorded a decrease of </w:t>
      </w:r>
      <w:r w:rsidRPr="00B266DB">
        <w:t xml:space="preserve">11% (9,182 vehicles sold in the five months), and tractors with loading platform (-13.9%), trailers (-9%) </w:t>
      </w:r>
      <w:r w:rsidR="000B12EF">
        <w:t xml:space="preserve">and telehandlers </w:t>
      </w:r>
      <w:r w:rsidRPr="00B266DB">
        <w:t xml:space="preserve">(-24.3%) were </w:t>
      </w:r>
      <w:r w:rsidR="003268AC">
        <w:t>also down</w:t>
      </w:r>
      <w:r w:rsidRPr="00B266DB">
        <w:t>, while only combine harvesters recorded a surplus</w:t>
      </w:r>
      <w:r w:rsidR="000B12EF">
        <w:t xml:space="preserve">, </w:t>
      </w:r>
      <w:r w:rsidRPr="00B266DB">
        <w:t xml:space="preserve">equal to 2.3 percentage points. Despite </w:t>
      </w:r>
      <w:r w:rsidR="000B12EF">
        <w:t xml:space="preserve">the </w:t>
      </w:r>
      <w:r w:rsidRPr="00B266DB">
        <w:t>downturns</w:t>
      </w:r>
      <w:r w:rsidR="000B12EF">
        <w:t xml:space="preserve">, market levels remain high, and tractors are still </w:t>
      </w:r>
      <w:r w:rsidRPr="00B266DB">
        <w:t xml:space="preserve">13% </w:t>
      </w:r>
      <w:r w:rsidR="000B12EF">
        <w:t xml:space="preserve">above </w:t>
      </w:r>
      <w:r w:rsidRPr="00B266DB">
        <w:t xml:space="preserve">the average of the last four years. Good levels are also being maintained by the market for gardening and landscaping equipment, which in the first three months of the year posted a drop of 7.4%, to be considered </w:t>
      </w:r>
      <w:r w:rsidR="00681B1C">
        <w:t>natural</w:t>
      </w:r>
      <w:r w:rsidRPr="00B266DB">
        <w:t xml:space="preserve"> after the boom in sales in the first quarter of last year (+39.4%), and after a 2021 final result that was nevertheless largely positive (+14%). Analysing the market trend at the FederUnacoma Annual General Meeting, President Alessandro Malavolti explained that the drop in registrations of agricultural machinery should be interpreted as a "technical downturn", i.e. not caused by a real drop in demand, but rather by delays in the supply chain that have prevented manufacturers, </w:t>
      </w:r>
      <w:r w:rsidR="00681B1C">
        <w:t>faced with</w:t>
      </w:r>
      <w:r w:rsidRPr="00B266DB">
        <w:t xml:space="preserve"> a high number of orders, from respecting the delivery </w:t>
      </w:r>
      <w:r w:rsidR="00681B1C">
        <w:t>times</w:t>
      </w:r>
      <w:r w:rsidRPr="00B266DB">
        <w:t xml:space="preserve"> of mechanical equipment. The general economic situation, which was affected by the conflict in Ukraine, does not seem to have significantly influenced the sector's market, which in each of the five months of the year maintained the same percentage drop (around ten points) without showing any </w:t>
      </w:r>
      <w:r w:rsidR="00681B1C">
        <w:t>worsening</w:t>
      </w:r>
      <w:r w:rsidRPr="00B266DB">
        <w:t xml:space="preserve"> in the months of March, April and May, which were characterised precisely by the military crisis. The resilience of the domestic market</w:t>
      </w:r>
      <w:r w:rsidR="00681B1C">
        <w:t xml:space="preserve"> -</w:t>
      </w:r>
      <w:r w:rsidR="00B3447A">
        <w:t xml:space="preserve"> </w:t>
      </w:r>
      <w:r w:rsidR="00681B1C">
        <w:t>noted</w:t>
      </w:r>
      <w:r w:rsidRPr="00B266DB">
        <w:t xml:space="preserve"> the manufacturers' chairman</w:t>
      </w:r>
      <w:r w:rsidR="00681B1C">
        <w:t xml:space="preserve"> - </w:t>
      </w:r>
      <w:r w:rsidRPr="00B266DB">
        <w:t xml:space="preserve">is also the result of a fairly consistent system of incentives. </w:t>
      </w:r>
      <w:r w:rsidR="00681B1C">
        <w:t>S</w:t>
      </w:r>
      <w:r w:rsidRPr="00B266DB">
        <w:t>everal financial support tools are active this year, some of which are also cumulative: the tax credit for 4.0, the Isi (Inail)</w:t>
      </w:r>
      <w:r w:rsidR="00681B1C" w:rsidRPr="00681B1C">
        <w:t xml:space="preserve"> </w:t>
      </w:r>
      <w:r w:rsidR="00681B1C" w:rsidRPr="00B266DB">
        <w:t>Decree</w:t>
      </w:r>
      <w:r w:rsidRPr="00B266DB">
        <w:t xml:space="preserve"> for machinery with high safety standards, the Sabatini Law for capital goods, as well as the European Union programmes, i.e. the </w:t>
      </w:r>
      <w:bookmarkStart w:id="0" w:name="OLE_LINK11"/>
      <w:r w:rsidRPr="00B266DB">
        <w:t>PSR and the PNRR</w:t>
      </w:r>
      <w:bookmarkEnd w:id="0"/>
      <w:r w:rsidRPr="00B266DB">
        <w:t xml:space="preserve">, which have a multi-year duration and aim to </w:t>
      </w:r>
      <w:r w:rsidR="00681B1C">
        <w:t>support</w:t>
      </w:r>
      <w:r w:rsidRPr="00B266DB">
        <w:t xml:space="preserve"> farms in the purchase of new and high-tech equipment.</w:t>
      </w:r>
    </w:p>
    <w:p w14:paraId="012735C3" w14:textId="77777777" w:rsidR="00B3447A" w:rsidRDefault="00B3447A" w:rsidP="00B3447A">
      <w:pPr>
        <w:jc w:val="both"/>
        <w:rPr>
          <w:i/>
          <w:sz w:val="25"/>
          <w:szCs w:val="25"/>
        </w:rPr>
      </w:pPr>
      <w:r>
        <w:rPr>
          <w:i/>
          <w:sz w:val="25"/>
          <w:szCs w:val="25"/>
        </w:rPr>
        <w:t xml:space="preserve">                                  </w:t>
      </w:r>
    </w:p>
    <w:p w14:paraId="58463DE0" w14:textId="77777777" w:rsidR="00942CDF" w:rsidRDefault="00565DB3">
      <w:pPr>
        <w:jc w:val="both"/>
        <w:rPr>
          <w:b/>
          <w:bCs/>
          <w:iCs/>
          <w:sz w:val="25"/>
          <w:szCs w:val="25"/>
        </w:rPr>
      </w:pPr>
      <w:r w:rsidRPr="00565DB3">
        <w:rPr>
          <w:b/>
          <w:bCs/>
          <w:iCs/>
          <w:sz w:val="25"/>
          <w:szCs w:val="25"/>
        </w:rPr>
        <w:t xml:space="preserve">                                  Varignana (BO), 28 June 2022</w:t>
      </w:r>
    </w:p>
    <w:p w14:paraId="19C09185" w14:textId="77777777" w:rsidR="000F7453" w:rsidRDefault="000F7453" w:rsidP="00B3447A">
      <w:pPr>
        <w:jc w:val="both"/>
        <w:rPr>
          <w:b/>
          <w:bCs/>
          <w:iCs/>
          <w:sz w:val="25"/>
          <w:szCs w:val="25"/>
        </w:rPr>
      </w:pPr>
    </w:p>
    <w:p w14:paraId="0B9B63C7" w14:textId="77777777" w:rsidR="000F7453" w:rsidRDefault="000F7453" w:rsidP="000F7453">
      <w:pPr>
        <w:jc w:val="right"/>
        <w:rPr>
          <w:b/>
          <w:bCs/>
          <w:iCs/>
          <w:sz w:val="25"/>
          <w:szCs w:val="25"/>
        </w:rPr>
      </w:pPr>
    </w:p>
    <w:p w14:paraId="634F6F34" w14:textId="77777777" w:rsidR="000F7453" w:rsidRDefault="000F7453" w:rsidP="000F7453">
      <w:pPr>
        <w:jc w:val="right"/>
        <w:rPr>
          <w:b/>
          <w:bCs/>
          <w:iCs/>
          <w:sz w:val="25"/>
          <w:szCs w:val="25"/>
        </w:rPr>
      </w:pPr>
    </w:p>
    <w:p w14:paraId="796A1AA5" w14:textId="77777777" w:rsidR="000F7453" w:rsidRDefault="000F7453" w:rsidP="000F7453">
      <w:pPr>
        <w:jc w:val="right"/>
        <w:rPr>
          <w:b/>
          <w:bCs/>
          <w:iCs/>
          <w:sz w:val="25"/>
          <w:szCs w:val="25"/>
        </w:rPr>
      </w:pPr>
    </w:p>
    <w:p w14:paraId="768D1656" w14:textId="77777777" w:rsidR="000F7453" w:rsidRDefault="000F7453" w:rsidP="000F7453">
      <w:pPr>
        <w:jc w:val="right"/>
        <w:rPr>
          <w:b/>
          <w:bCs/>
          <w:iCs/>
          <w:sz w:val="25"/>
          <w:szCs w:val="25"/>
        </w:rPr>
      </w:pPr>
    </w:p>
    <w:p w14:paraId="1D9EDEC0" w14:textId="77777777" w:rsidR="000F7453" w:rsidRPr="00C62CC9" w:rsidRDefault="000F7453" w:rsidP="000F7453">
      <w:pPr>
        <w:jc w:val="right"/>
        <w:rPr>
          <w:b/>
          <w:bCs/>
          <w:iCs/>
          <w:sz w:val="25"/>
          <w:szCs w:val="25"/>
        </w:rPr>
      </w:pPr>
      <w:r>
        <w:rPr>
          <w:b/>
          <w:bCs/>
          <w:iCs/>
          <w:noProof/>
          <w:sz w:val="25"/>
          <w:szCs w:val="25"/>
        </w:rPr>
        <w:drawing>
          <wp:inline distT="0" distB="0" distL="0" distR="0" wp14:anchorId="72D428D0" wp14:editId="502EB530">
            <wp:extent cx="5285105" cy="477116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8309" cy="4783089"/>
                    </a:xfrm>
                    <a:prstGeom prst="rect">
                      <a:avLst/>
                    </a:prstGeom>
                    <a:noFill/>
                    <a:ln>
                      <a:noFill/>
                    </a:ln>
                  </pic:spPr>
                </pic:pic>
              </a:graphicData>
            </a:graphic>
          </wp:inline>
        </w:drawing>
      </w:r>
    </w:p>
    <w:sectPr w:rsidR="000F7453" w:rsidRPr="00C62CC9" w:rsidSect="002209C1">
      <w:headerReference w:type="default" r:id="rId8"/>
      <w:footerReference w:type="default" r:id="rId9"/>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3F43" w14:textId="77777777" w:rsidR="00330615" w:rsidRDefault="00330615">
      <w:r>
        <w:separator/>
      </w:r>
    </w:p>
  </w:endnote>
  <w:endnote w:type="continuationSeparator" w:id="0">
    <w:p w14:paraId="1137409C" w14:textId="77777777" w:rsidR="00330615" w:rsidRDefault="0033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95B8" w14:textId="77777777" w:rsidR="00942CDF" w:rsidRDefault="00000000">
    <w:pPr>
      <w:pStyle w:val="Footer"/>
      <w:jc w:val="right"/>
    </w:pPr>
    <w:r>
      <w:fldChar w:fldCharType="begin"/>
    </w:r>
    <w:r>
      <w:instrText>PAGE   \* MERGEFORMAT</w:instrText>
    </w:r>
    <w:r>
      <w:fldChar w:fldCharType="separate"/>
    </w:r>
    <w:r w:rsidR="00C44641" w:rsidRPr="00C44641">
      <w:rPr>
        <w:noProof/>
        <w:lang w:val="it-IT"/>
      </w:rPr>
      <w:t>1</w:t>
    </w:r>
    <w:r>
      <w:fldChar w:fldCharType="end"/>
    </w:r>
  </w:p>
  <w:p w14:paraId="3F5A91F4" w14:textId="77777777" w:rsidR="00CB2699" w:rsidRDefault="00CB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E5C1" w14:textId="77777777" w:rsidR="00330615" w:rsidRDefault="00330615">
      <w:r>
        <w:separator/>
      </w:r>
    </w:p>
  </w:footnote>
  <w:footnote w:type="continuationSeparator" w:id="0">
    <w:p w14:paraId="1085FEB1" w14:textId="77777777" w:rsidR="00330615" w:rsidRDefault="0033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7403" w14:textId="77777777" w:rsidR="00942CDF" w:rsidRDefault="00000000">
    <w:pPr>
      <w:pStyle w:val="Header"/>
      <w:tabs>
        <w:tab w:val="clear" w:pos="9638"/>
      </w:tabs>
    </w:pPr>
    <w:r>
      <w:rPr>
        <w:noProof/>
      </w:rPr>
      <w:drawing>
        <wp:anchor distT="0" distB="0" distL="114300" distR="114300" simplePos="0" relativeHeight="251657728" behindDoc="1" locked="0" layoutInCell="1" allowOverlap="1" wp14:anchorId="08DD9394" wp14:editId="3773579A">
          <wp:simplePos x="0" y="0"/>
          <wp:positionH relativeFrom="margin">
            <wp:posOffset>-821055</wp:posOffset>
          </wp:positionH>
          <wp:positionV relativeFrom="paragraph">
            <wp:posOffset>-447040</wp:posOffset>
          </wp:positionV>
          <wp:extent cx="7560310" cy="10676255"/>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1CCAB1AA">
      <w:start w:val="1"/>
      <w:numFmt w:val="bullet"/>
      <w:lvlText w:val=""/>
      <w:lvlJc w:val="left"/>
      <w:pPr>
        <w:tabs>
          <w:tab w:val="num" w:pos="360"/>
        </w:tabs>
        <w:ind w:left="360" w:hanging="360"/>
      </w:pPr>
      <w:rPr>
        <w:rFonts w:ascii="Symbol" w:hAnsi="Symbol" w:hint="default"/>
      </w:rPr>
    </w:lvl>
    <w:lvl w:ilvl="1" w:tplc="3854623A" w:tentative="1">
      <w:start w:val="1"/>
      <w:numFmt w:val="bullet"/>
      <w:lvlText w:val="o"/>
      <w:lvlJc w:val="left"/>
      <w:pPr>
        <w:tabs>
          <w:tab w:val="num" w:pos="1080"/>
        </w:tabs>
        <w:ind w:left="1080" w:hanging="360"/>
      </w:pPr>
      <w:rPr>
        <w:rFonts w:ascii="Courier New" w:hAnsi="Courier New" w:cs="Arial" w:hint="default"/>
      </w:rPr>
    </w:lvl>
    <w:lvl w:ilvl="2" w:tplc="D3AC2E46" w:tentative="1">
      <w:start w:val="1"/>
      <w:numFmt w:val="bullet"/>
      <w:lvlText w:val=""/>
      <w:lvlJc w:val="left"/>
      <w:pPr>
        <w:tabs>
          <w:tab w:val="num" w:pos="1800"/>
        </w:tabs>
        <w:ind w:left="1800" w:hanging="360"/>
      </w:pPr>
      <w:rPr>
        <w:rFonts w:ascii="Wingdings" w:hAnsi="Wingdings" w:hint="default"/>
      </w:rPr>
    </w:lvl>
    <w:lvl w:ilvl="3" w:tplc="AB4E666E" w:tentative="1">
      <w:start w:val="1"/>
      <w:numFmt w:val="bullet"/>
      <w:lvlText w:val=""/>
      <w:lvlJc w:val="left"/>
      <w:pPr>
        <w:tabs>
          <w:tab w:val="num" w:pos="2520"/>
        </w:tabs>
        <w:ind w:left="2520" w:hanging="360"/>
      </w:pPr>
      <w:rPr>
        <w:rFonts w:ascii="Symbol" w:hAnsi="Symbol" w:hint="default"/>
      </w:rPr>
    </w:lvl>
    <w:lvl w:ilvl="4" w:tplc="05364ADC" w:tentative="1">
      <w:start w:val="1"/>
      <w:numFmt w:val="bullet"/>
      <w:lvlText w:val="o"/>
      <w:lvlJc w:val="left"/>
      <w:pPr>
        <w:tabs>
          <w:tab w:val="num" w:pos="3240"/>
        </w:tabs>
        <w:ind w:left="3240" w:hanging="360"/>
      </w:pPr>
      <w:rPr>
        <w:rFonts w:ascii="Courier New" w:hAnsi="Courier New" w:cs="Arial" w:hint="default"/>
      </w:rPr>
    </w:lvl>
    <w:lvl w:ilvl="5" w:tplc="6CDE0F08" w:tentative="1">
      <w:start w:val="1"/>
      <w:numFmt w:val="bullet"/>
      <w:lvlText w:val=""/>
      <w:lvlJc w:val="left"/>
      <w:pPr>
        <w:tabs>
          <w:tab w:val="num" w:pos="3960"/>
        </w:tabs>
        <w:ind w:left="3960" w:hanging="360"/>
      </w:pPr>
      <w:rPr>
        <w:rFonts w:ascii="Wingdings" w:hAnsi="Wingdings" w:hint="default"/>
      </w:rPr>
    </w:lvl>
    <w:lvl w:ilvl="6" w:tplc="E4B47A06" w:tentative="1">
      <w:start w:val="1"/>
      <w:numFmt w:val="bullet"/>
      <w:lvlText w:val=""/>
      <w:lvlJc w:val="left"/>
      <w:pPr>
        <w:tabs>
          <w:tab w:val="num" w:pos="4680"/>
        </w:tabs>
        <w:ind w:left="4680" w:hanging="360"/>
      </w:pPr>
      <w:rPr>
        <w:rFonts w:ascii="Symbol" w:hAnsi="Symbol" w:hint="default"/>
      </w:rPr>
    </w:lvl>
    <w:lvl w:ilvl="7" w:tplc="B45EF248" w:tentative="1">
      <w:start w:val="1"/>
      <w:numFmt w:val="bullet"/>
      <w:lvlText w:val="o"/>
      <w:lvlJc w:val="left"/>
      <w:pPr>
        <w:tabs>
          <w:tab w:val="num" w:pos="5400"/>
        </w:tabs>
        <w:ind w:left="5400" w:hanging="360"/>
      </w:pPr>
      <w:rPr>
        <w:rFonts w:ascii="Courier New" w:hAnsi="Courier New" w:cs="Arial" w:hint="default"/>
      </w:rPr>
    </w:lvl>
    <w:lvl w:ilvl="8" w:tplc="6E7859A8" w:tentative="1">
      <w:start w:val="1"/>
      <w:numFmt w:val="bullet"/>
      <w:lvlText w:val=""/>
      <w:lvlJc w:val="left"/>
      <w:pPr>
        <w:tabs>
          <w:tab w:val="num" w:pos="6120"/>
        </w:tabs>
        <w:ind w:left="6120" w:hanging="360"/>
      </w:pPr>
      <w:rPr>
        <w:rFonts w:ascii="Wingdings" w:hAnsi="Wingdings" w:hint="default"/>
      </w:rPr>
    </w:lvl>
  </w:abstractNum>
  <w:num w:numId="1" w16cid:durableId="163205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97F74"/>
    <w:rsid w:val="000A40D6"/>
    <w:rsid w:val="000B12EF"/>
    <w:rsid w:val="000B5F3B"/>
    <w:rsid w:val="000C3C5A"/>
    <w:rsid w:val="000D1498"/>
    <w:rsid w:val="000D2A17"/>
    <w:rsid w:val="000D7055"/>
    <w:rsid w:val="000E2858"/>
    <w:rsid w:val="000E549D"/>
    <w:rsid w:val="000F7453"/>
    <w:rsid w:val="000F7E1E"/>
    <w:rsid w:val="0010091E"/>
    <w:rsid w:val="00103ECE"/>
    <w:rsid w:val="00106416"/>
    <w:rsid w:val="00107CF1"/>
    <w:rsid w:val="0011547B"/>
    <w:rsid w:val="00126942"/>
    <w:rsid w:val="00142BC9"/>
    <w:rsid w:val="00146570"/>
    <w:rsid w:val="00152C3B"/>
    <w:rsid w:val="00160027"/>
    <w:rsid w:val="0016127A"/>
    <w:rsid w:val="00165309"/>
    <w:rsid w:val="001741B8"/>
    <w:rsid w:val="001819EF"/>
    <w:rsid w:val="00187D75"/>
    <w:rsid w:val="00191954"/>
    <w:rsid w:val="00192B06"/>
    <w:rsid w:val="00192F24"/>
    <w:rsid w:val="001932FE"/>
    <w:rsid w:val="00196112"/>
    <w:rsid w:val="0019614F"/>
    <w:rsid w:val="001A3C20"/>
    <w:rsid w:val="001A4F39"/>
    <w:rsid w:val="001A717B"/>
    <w:rsid w:val="001B5FCF"/>
    <w:rsid w:val="001B627E"/>
    <w:rsid w:val="001C6652"/>
    <w:rsid w:val="001C76CC"/>
    <w:rsid w:val="001D56FF"/>
    <w:rsid w:val="001D7474"/>
    <w:rsid w:val="001E28EC"/>
    <w:rsid w:val="001E3929"/>
    <w:rsid w:val="001F0A16"/>
    <w:rsid w:val="001F43D1"/>
    <w:rsid w:val="002059E3"/>
    <w:rsid w:val="00207704"/>
    <w:rsid w:val="00210462"/>
    <w:rsid w:val="00210B2C"/>
    <w:rsid w:val="002175C0"/>
    <w:rsid w:val="002209C1"/>
    <w:rsid w:val="00233310"/>
    <w:rsid w:val="002373DA"/>
    <w:rsid w:val="00241738"/>
    <w:rsid w:val="00242540"/>
    <w:rsid w:val="00242F99"/>
    <w:rsid w:val="00245018"/>
    <w:rsid w:val="0025180B"/>
    <w:rsid w:val="00262E18"/>
    <w:rsid w:val="00270C14"/>
    <w:rsid w:val="002771D9"/>
    <w:rsid w:val="00280722"/>
    <w:rsid w:val="00283BB3"/>
    <w:rsid w:val="00285A33"/>
    <w:rsid w:val="00287E96"/>
    <w:rsid w:val="002902B6"/>
    <w:rsid w:val="00293124"/>
    <w:rsid w:val="00293440"/>
    <w:rsid w:val="00294EB9"/>
    <w:rsid w:val="0029566B"/>
    <w:rsid w:val="002A2BB3"/>
    <w:rsid w:val="002A4C4C"/>
    <w:rsid w:val="002A4FC7"/>
    <w:rsid w:val="002B04DE"/>
    <w:rsid w:val="002B1023"/>
    <w:rsid w:val="002B16D3"/>
    <w:rsid w:val="002B2A92"/>
    <w:rsid w:val="002C076E"/>
    <w:rsid w:val="002D0972"/>
    <w:rsid w:val="002E0762"/>
    <w:rsid w:val="002E0E25"/>
    <w:rsid w:val="002E12F9"/>
    <w:rsid w:val="002E1A80"/>
    <w:rsid w:val="002E4B67"/>
    <w:rsid w:val="002F15BD"/>
    <w:rsid w:val="002F6567"/>
    <w:rsid w:val="002F7564"/>
    <w:rsid w:val="00302659"/>
    <w:rsid w:val="00302938"/>
    <w:rsid w:val="00306B7B"/>
    <w:rsid w:val="003129B7"/>
    <w:rsid w:val="003132BB"/>
    <w:rsid w:val="00315136"/>
    <w:rsid w:val="00325831"/>
    <w:rsid w:val="003268AC"/>
    <w:rsid w:val="00330615"/>
    <w:rsid w:val="00332184"/>
    <w:rsid w:val="0034203E"/>
    <w:rsid w:val="0034514B"/>
    <w:rsid w:val="00350EC8"/>
    <w:rsid w:val="00350F15"/>
    <w:rsid w:val="00352C4E"/>
    <w:rsid w:val="003574DE"/>
    <w:rsid w:val="003616E4"/>
    <w:rsid w:val="0036535D"/>
    <w:rsid w:val="003731AE"/>
    <w:rsid w:val="0038005B"/>
    <w:rsid w:val="00385EA5"/>
    <w:rsid w:val="003927D9"/>
    <w:rsid w:val="00394D08"/>
    <w:rsid w:val="003A355A"/>
    <w:rsid w:val="003A60AB"/>
    <w:rsid w:val="003A6565"/>
    <w:rsid w:val="003A7060"/>
    <w:rsid w:val="003B27E5"/>
    <w:rsid w:val="003B58CA"/>
    <w:rsid w:val="003C5D12"/>
    <w:rsid w:val="003D78B8"/>
    <w:rsid w:val="003E24F0"/>
    <w:rsid w:val="003E3957"/>
    <w:rsid w:val="003E7B1C"/>
    <w:rsid w:val="003E7F01"/>
    <w:rsid w:val="003F1320"/>
    <w:rsid w:val="00403861"/>
    <w:rsid w:val="00405D9F"/>
    <w:rsid w:val="004145F6"/>
    <w:rsid w:val="00421382"/>
    <w:rsid w:val="00427165"/>
    <w:rsid w:val="004326CA"/>
    <w:rsid w:val="00435016"/>
    <w:rsid w:val="0044243A"/>
    <w:rsid w:val="0044504B"/>
    <w:rsid w:val="004567A9"/>
    <w:rsid w:val="00467F53"/>
    <w:rsid w:val="004700BF"/>
    <w:rsid w:val="00483120"/>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E768B"/>
    <w:rsid w:val="004F1495"/>
    <w:rsid w:val="004F7FC5"/>
    <w:rsid w:val="00503762"/>
    <w:rsid w:val="00503957"/>
    <w:rsid w:val="00503E18"/>
    <w:rsid w:val="0050405E"/>
    <w:rsid w:val="005041A8"/>
    <w:rsid w:val="00506FD4"/>
    <w:rsid w:val="005112CA"/>
    <w:rsid w:val="00512503"/>
    <w:rsid w:val="00512794"/>
    <w:rsid w:val="00513993"/>
    <w:rsid w:val="00520E15"/>
    <w:rsid w:val="005354FA"/>
    <w:rsid w:val="00535932"/>
    <w:rsid w:val="00545C25"/>
    <w:rsid w:val="0055534A"/>
    <w:rsid w:val="005561A8"/>
    <w:rsid w:val="00565DB3"/>
    <w:rsid w:val="00570188"/>
    <w:rsid w:val="00574E0A"/>
    <w:rsid w:val="00575C13"/>
    <w:rsid w:val="005765FB"/>
    <w:rsid w:val="005822E6"/>
    <w:rsid w:val="00590B77"/>
    <w:rsid w:val="0059473E"/>
    <w:rsid w:val="00597476"/>
    <w:rsid w:val="00597963"/>
    <w:rsid w:val="005A0DF0"/>
    <w:rsid w:val="005A35FB"/>
    <w:rsid w:val="005A45F4"/>
    <w:rsid w:val="005A6777"/>
    <w:rsid w:val="005A698F"/>
    <w:rsid w:val="005A7C1A"/>
    <w:rsid w:val="005B29EB"/>
    <w:rsid w:val="005B61E7"/>
    <w:rsid w:val="005D10F9"/>
    <w:rsid w:val="005E01EA"/>
    <w:rsid w:val="005E0643"/>
    <w:rsid w:val="005E1D73"/>
    <w:rsid w:val="005E6B98"/>
    <w:rsid w:val="005E70AE"/>
    <w:rsid w:val="0060320E"/>
    <w:rsid w:val="0061653E"/>
    <w:rsid w:val="00621E51"/>
    <w:rsid w:val="00622326"/>
    <w:rsid w:val="006379A3"/>
    <w:rsid w:val="006433C9"/>
    <w:rsid w:val="0065073A"/>
    <w:rsid w:val="00674484"/>
    <w:rsid w:val="006747CD"/>
    <w:rsid w:val="006764A2"/>
    <w:rsid w:val="00676CAD"/>
    <w:rsid w:val="00681B1C"/>
    <w:rsid w:val="00681E65"/>
    <w:rsid w:val="00687E3E"/>
    <w:rsid w:val="0069345B"/>
    <w:rsid w:val="006940A7"/>
    <w:rsid w:val="006956C9"/>
    <w:rsid w:val="006A38D5"/>
    <w:rsid w:val="006A5E76"/>
    <w:rsid w:val="006B4344"/>
    <w:rsid w:val="006B55C8"/>
    <w:rsid w:val="006C486F"/>
    <w:rsid w:val="006C4B11"/>
    <w:rsid w:val="006C6E91"/>
    <w:rsid w:val="006E245F"/>
    <w:rsid w:val="006E26DB"/>
    <w:rsid w:val="006E4921"/>
    <w:rsid w:val="006F4F6B"/>
    <w:rsid w:val="007002EB"/>
    <w:rsid w:val="00710B29"/>
    <w:rsid w:val="00711CB1"/>
    <w:rsid w:val="00715D2B"/>
    <w:rsid w:val="0072285A"/>
    <w:rsid w:val="00723741"/>
    <w:rsid w:val="0073178F"/>
    <w:rsid w:val="007322C7"/>
    <w:rsid w:val="007324E8"/>
    <w:rsid w:val="007420A8"/>
    <w:rsid w:val="007517A4"/>
    <w:rsid w:val="0075187A"/>
    <w:rsid w:val="00755009"/>
    <w:rsid w:val="007620E2"/>
    <w:rsid w:val="00764FDF"/>
    <w:rsid w:val="007751DC"/>
    <w:rsid w:val="00776788"/>
    <w:rsid w:val="00782602"/>
    <w:rsid w:val="007A4503"/>
    <w:rsid w:val="007A4DC5"/>
    <w:rsid w:val="007B1034"/>
    <w:rsid w:val="007B4D35"/>
    <w:rsid w:val="007B684E"/>
    <w:rsid w:val="007B7E69"/>
    <w:rsid w:val="007C11AB"/>
    <w:rsid w:val="007C2951"/>
    <w:rsid w:val="007C2BC3"/>
    <w:rsid w:val="007C43EC"/>
    <w:rsid w:val="007C6300"/>
    <w:rsid w:val="007C7E1A"/>
    <w:rsid w:val="007C7FD8"/>
    <w:rsid w:val="007E0489"/>
    <w:rsid w:val="007E3F45"/>
    <w:rsid w:val="007F17F6"/>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342E"/>
    <w:rsid w:val="00855D87"/>
    <w:rsid w:val="00860FBF"/>
    <w:rsid w:val="00864B7A"/>
    <w:rsid w:val="008654F9"/>
    <w:rsid w:val="00881E66"/>
    <w:rsid w:val="008A07A2"/>
    <w:rsid w:val="008A1C94"/>
    <w:rsid w:val="008A31D5"/>
    <w:rsid w:val="008A3BBD"/>
    <w:rsid w:val="008B2189"/>
    <w:rsid w:val="008B2D62"/>
    <w:rsid w:val="008B4434"/>
    <w:rsid w:val="008B7C2D"/>
    <w:rsid w:val="008C132E"/>
    <w:rsid w:val="008C5C97"/>
    <w:rsid w:val="008D3655"/>
    <w:rsid w:val="008D504F"/>
    <w:rsid w:val="008D566A"/>
    <w:rsid w:val="008E0B34"/>
    <w:rsid w:val="008F484F"/>
    <w:rsid w:val="008F7A40"/>
    <w:rsid w:val="0091365F"/>
    <w:rsid w:val="00917CEA"/>
    <w:rsid w:val="00920916"/>
    <w:rsid w:val="00926473"/>
    <w:rsid w:val="00927E3B"/>
    <w:rsid w:val="00932A48"/>
    <w:rsid w:val="00936493"/>
    <w:rsid w:val="009368D1"/>
    <w:rsid w:val="00937B22"/>
    <w:rsid w:val="00942562"/>
    <w:rsid w:val="00942CDF"/>
    <w:rsid w:val="00956486"/>
    <w:rsid w:val="0095767D"/>
    <w:rsid w:val="00957C2C"/>
    <w:rsid w:val="00960B85"/>
    <w:rsid w:val="00970684"/>
    <w:rsid w:val="00973406"/>
    <w:rsid w:val="0098061F"/>
    <w:rsid w:val="00981BB7"/>
    <w:rsid w:val="00981E0B"/>
    <w:rsid w:val="00984AB7"/>
    <w:rsid w:val="009860D3"/>
    <w:rsid w:val="00994FA6"/>
    <w:rsid w:val="009A32DF"/>
    <w:rsid w:val="009A545B"/>
    <w:rsid w:val="009A7E3D"/>
    <w:rsid w:val="009B330D"/>
    <w:rsid w:val="009B41F5"/>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4F9"/>
    <w:rsid w:val="00A937DD"/>
    <w:rsid w:val="00A94A30"/>
    <w:rsid w:val="00AA7D80"/>
    <w:rsid w:val="00AB6D33"/>
    <w:rsid w:val="00AC54EA"/>
    <w:rsid w:val="00AD157D"/>
    <w:rsid w:val="00AE2B91"/>
    <w:rsid w:val="00AE7084"/>
    <w:rsid w:val="00AE70BD"/>
    <w:rsid w:val="00AF0D42"/>
    <w:rsid w:val="00AF1272"/>
    <w:rsid w:val="00AF34ED"/>
    <w:rsid w:val="00AF369E"/>
    <w:rsid w:val="00AF6326"/>
    <w:rsid w:val="00AF7B16"/>
    <w:rsid w:val="00B030F7"/>
    <w:rsid w:val="00B154BA"/>
    <w:rsid w:val="00B20DAA"/>
    <w:rsid w:val="00B22182"/>
    <w:rsid w:val="00B22E7C"/>
    <w:rsid w:val="00B23C35"/>
    <w:rsid w:val="00B23FB1"/>
    <w:rsid w:val="00B243E8"/>
    <w:rsid w:val="00B3447A"/>
    <w:rsid w:val="00B41AAB"/>
    <w:rsid w:val="00B424FB"/>
    <w:rsid w:val="00B468B8"/>
    <w:rsid w:val="00B501C7"/>
    <w:rsid w:val="00B60F34"/>
    <w:rsid w:val="00B64A0D"/>
    <w:rsid w:val="00B70E08"/>
    <w:rsid w:val="00B70FA3"/>
    <w:rsid w:val="00B82A27"/>
    <w:rsid w:val="00B847F6"/>
    <w:rsid w:val="00B85AED"/>
    <w:rsid w:val="00B902BC"/>
    <w:rsid w:val="00BB0271"/>
    <w:rsid w:val="00BB044D"/>
    <w:rsid w:val="00BB0B06"/>
    <w:rsid w:val="00BB12CF"/>
    <w:rsid w:val="00BB2F48"/>
    <w:rsid w:val="00BC293D"/>
    <w:rsid w:val="00BC2D4B"/>
    <w:rsid w:val="00BC5B78"/>
    <w:rsid w:val="00BC6D51"/>
    <w:rsid w:val="00BD2F57"/>
    <w:rsid w:val="00BD48AE"/>
    <w:rsid w:val="00BE603F"/>
    <w:rsid w:val="00BF53A1"/>
    <w:rsid w:val="00C004D2"/>
    <w:rsid w:val="00C0369A"/>
    <w:rsid w:val="00C1036E"/>
    <w:rsid w:val="00C20B1E"/>
    <w:rsid w:val="00C23B56"/>
    <w:rsid w:val="00C40853"/>
    <w:rsid w:val="00C41089"/>
    <w:rsid w:val="00C44641"/>
    <w:rsid w:val="00C50A6B"/>
    <w:rsid w:val="00C5197E"/>
    <w:rsid w:val="00C51D1E"/>
    <w:rsid w:val="00C6007C"/>
    <w:rsid w:val="00C604D1"/>
    <w:rsid w:val="00C62CC9"/>
    <w:rsid w:val="00C6464C"/>
    <w:rsid w:val="00C67FAE"/>
    <w:rsid w:val="00C8234E"/>
    <w:rsid w:val="00C9176A"/>
    <w:rsid w:val="00C94717"/>
    <w:rsid w:val="00C97E64"/>
    <w:rsid w:val="00CA085B"/>
    <w:rsid w:val="00CA0A04"/>
    <w:rsid w:val="00CA2ACB"/>
    <w:rsid w:val="00CA5D56"/>
    <w:rsid w:val="00CA67C3"/>
    <w:rsid w:val="00CB2699"/>
    <w:rsid w:val="00CB314D"/>
    <w:rsid w:val="00CB5493"/>
    <w:rsid w:val="00CB65B9"/>
    <w:rsid w:val="00CC509D"/>
    <w:rsid w:val="00CC6482"/>
    <w:rsid w:val="00CC7204"/>
    <w:rsid w:val="00CD3729"/>
    <w:rsid w:val="00CD59B5"/>
    <w:rsid w:val="00CD79CD"/>
    <w:rsid w:val="00CE1BB0"/>
    <w:rsid w:val="00CE2013"/>
    <w:rsid w:val="00CF240F"/>
    <w:rsid w:val="00CF2FB5"/>
    <w:rsid w:val="00CF4D28"/>
    <w:rsid w:val="00CF5D45"/>
    <w:rsid w:val="00CF6C14"/>
    <w:rsid w:val="00D01C4C"/>
    <w:rsid w:val="00D039B5"/>
    <w:rsid w:val="00D04823"/>
    <w:rsid w:val="00D109E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059"/>
    <w:rsid w:val="00DE72CA"/>
    <w:rsid w:val="00DE7FB8"/>
    <w:rsid w:val="00DF0B6A"/>
    <w:rsid w:val="00DF35BB"/>
    <w:rsid w:val="00DF67ED"/>
    <w:rsid w:val="00E017C2"/>
    <w:rsid w:val="00E050F4"/>
    <w:rsid w:val="00E05517"/>
    <w:rsid w:val="00E214CF"/>
    <w:rsid w:val="00E271E8"/>
    <w:rsid w:val="00E30809"/>
    <w:rsid w:val="00E31EF7"/>
    <w:rsid w:val="00E32CDE"/>
    <w:rsid w:val="00E400B5"/>
    <w:rsid w:val="00E40431"/>
    <w:rsid w:val="00E445E5"/>
    <w:rsid w:val="00E553DB"/>
    <w:rsid w:val="00E56DAD"/>
    <w:rsid w:val="00E606D0"/>
    <w:rsid w:val="00E64AEC"/>
    <w:rsid w:val="00E70A0B"/>
    <w:rsid w:val="00E7207B"/>
    <w:rsid w:val="00E8168B"/>
    <w:rsid w:val="00E92326"/>
    <w:rsid w:val="00E9324C"/>
    <w:rsid w:val="00EA2C8C"/>
    <w:rsid w:val="00EB372F"/>
    <w:rsid w:val="00EB4A00"/>
    <w:rsid w:val="00EB61BD"/>
    <w:rsid w:val="00EB6391"/>
    <w:rsid w:val="00EC4E8F"/>
    <w:rsid w:val="00EC6341"/>
    <w:rsid w:val="00ED17E0"/>
    <w:rsid w:val="00EE296E"/>
    <w:rsid w:val="00EE32AF"/>
    <w:rsid w:val="00EF3962"/>
    <w:rsid w:val="00EF7F2F"/>
    <w:rsid w:val="00F023B0"/>
    <w:rsid w:val="00F025FF"/>
    <w:rsid w:val="00F125FD"/>
    <w:rsid w:val="00F15C89"/>
    <w:rsid w:val="00F1614D"/>
    <w:rsid w:val="00F16B69"/>
    <w:rsid w:val="00F16D73"/>
    <w:rsid w:val="00F17F64"/>
    <w:rsid w:val="00F219D7"/>
    <w:rsid w:val="00F24B6E"/>
    <w:rsid w:val="00F32C90"/>
    <w:rsid w:val="00F36BB6"/>
    <w:rsid w:val="00F4201A"/>
    <w:rsid w:val="00F43BE4"/>
    <w:rsid w:val="00F47F00"/>
    <w:rsid w:val="00F54585"/>
    <w:rsid w:val="00F56B01"/>
    <w:rsid w:val="00F63B35"/>
    <w:rsid w:val="00F90889"/>
    <w:rsid w:val="00FA4C9D"/>
    <w:rsid w:val="00FB1763"/>
    <w:rsid w:val="00FB2A84"/>
    <w:rsid w:val="00FB4F57"/>
    <w:rsid w:val="00FC4A4D"/>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52D723"/>
  <w15:docId w15:val="{BDBAF982-FD22-4068-9646-3FBBB234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5D3"/>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62D"/>
    <w:pPr>
      <w:tabs>
        <w:tab w:val="center" w:pos="4819"/>
        <w:tab w:val="right" w:pos="9638"/>
      </w:tabs>
    </w:pPr>
  </w:style>
  <w:style w:type="paragraph" w:styleId="Footer">
    <w:name w:val="footer"/>
    <w:basedOn w:val="Normal"/>
    <w:link w:val="FooterChar"/>
    <w:uiPriority w:val="99"/>
    <w:rsid w:val="00D7462D"/>
    <w:pPr>
      <w:tabs>
        <w:tab w:val="center" w:pos="4819"/>
        <w:tab w:val="right" w:pos="9638"/>
      </w:tabs>
    </w:pPr>
    <w:rPr>
      <w:lang w:val="x-none" w:eastAsia="x-none"/>
    </w:rPr>
  </w:style>
  <w:style w:type="paragraph" w:styleId="NormalWeb">
    <w:name w:val="Normal (Web)"/>
    <w:basedOn w:val="Normal"/>
    <w:rsid w:val="007F4809"/>
    <w:pPr>
      <w:spacing w:before="100" w:beforeAutospacing="1" w:after="100" w:afterAutospacing="1"/>
    </w:pPr>
  </w:style>
  <w:style w:type="character" w:styleId="Strong">
    <w:name w:val="Strong"/>
    <w:qFormat/>
    <w:rsid w:val="007F4809"/>
    <w:rPr>
      <w:b/>
      <w:bCs/>
    </w:rPr>
  </w:style>
  <w:style w:type="character" w:customStyle="1" w:styleId="FooterChar">
    <w:name w:val="Footer Char"/>
    <w:link w:val="Footer"/>
    <w:uiPriority w:val="99"/>
    <w:rsid w:val="00AF0D42"/>
    <w:rPr>
      <w:sz w:val="24"/>
      <w:szCs w:val="24"/>
    </w:rPr>
  </w:style>
  <w:style w:type="paragraph" w:styleId="BalloonText">
    <w:name w:val="Balloon Text"/>
    <w:basedOn w:val="Normal"/>
    <w:link w:val="BalloonTextChar"/>
    <w:rsid w:val="008F7A40"/>
    <w:rPr>
      <w:rFonts w:ascii="Tahoma" w:hAnsi="Tahoma"/>
      <w:sz w:val="16"/>
      <w:szCs w:val="16"/>
      <w:lang w:val="x-none" w:eastAsia="x-none"/>
    </w:rPr>
  </w:style>
  <w:style w:type="character" w:customStyle="1" w:styleId="BalloonTextChar">
    <w:name w:val="Balloon Text Char"/>
    <w:link w:val="BalloonText"/>
    <w:rsid w:val="008F7A40"/>
    <w:rPr>
      <w:rFonts w:ascii="Tahoma" w:hAnsi="Tahoma" w:cs="Tahoma"/>
      <w:sz w:val="16"/>
      <w:szCs w:val="16"/>
    </w:rPr>
  </w:style>
  <w:style w:type="character" w:styleId="Emphasis">
    <w:name w:val="Emphasis"/>
    <w:qFormat/>
    <w:rsid w:val="000337C4"/>
    <w:rPr>
      <w:i/>
      <w:iCs/>
    </w:rPr>
  </w:style>
  <w:style w:type="character" w:styleId="Hyperlink">
    <w:name w:val="Hyperlink"/>
    <w:uiPriority w:val="99"/>
    <w:unhideWhenUsed/>
    <w:rsid w:val="00E400B5"/>
    <w:rPr>
      <w:color w:val="0000FF"/>
      <w:u w:val="single"/>
    </w:rPr>
  </w:style>
  <w:style w:type="character" w:styleId="CommentReference">
    <w:name w:val="annotation reference"/>
    <w:rsid w:val="00352C4E"/>
    <w:rPr>
      <w:sz w:val="16"/>
      <w:szCs w:val="16"/>
    </w:rPr>
  </w:style>
  <w:style w:type="paragraph" w:styleId="CommentText">
    <w:name w:val="annotation text"/>
    <w:basedOn w:val="Normal"/>
    <w:link w:val="CommentTextChar"/>
    <w:rsid w:val="00352C4E"/>
    <w:rPr>
      <w:sz w:val="20"/>
      <w:szCs w:val="20"/>
    </w:rPr>
  </w:style>
  <w:style w:type="character" w:customStyle="1" w:styleId="CommentTextChar">
    <w:name w:val="Comment Text Char"/>
    <w:basedOn w:val="DefaultParagraphFont"/>
    <w:link w:val="CommentText"/>
    <w:rsid w:val="00352C4E"/>
  </w:style>
  <w:style w:type="paragraph" w:styleId="CommentSubject">
    <w:name w:val="annotation subject"/>
    <w:basedOn w:val="CommentText"/>
    <w:next w:val="CommentText"/>
    <w:link w:val="CommentSubjectChar"/>
    <w:rsid w:val="00352C4E"/>
    <w:rPr>
      <w:b/>
      <w:bCs/>
      <w:lang w:val="x-none" w:eastAsia="x-none"/>
    </w:rPr>
  </w:style>
  <w:style w:type="character" w:customStyle="1" w:styleId="CommentSubjectChar">
    <w:name w:val="Comment Subject Char"/>
    <w:link w:val="CommentSubject"/>
    <w:rsid w:val="00352C4E"/>
    <w:rPr>
      <w:b/>
      <w:bCs/>
    </w:rPr>
  </w:style>
  <w:style w:type="paragraph" w:styleId="HTMLPreformatted">
    <w:name w:val="HTML Preformatted"/>
    <w:basedOn w:val="Normal"/>
    <w:link w:val="HTMLPreformattedChar"/>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C41089"/>
    <w:rPr>
      <w:rFonts w:ascii="Courier New" w:hAnsi="Courier New" w:cs="Courier New"/>
    </w:rPr>
  </w:style>
  <w:style w:type="paragraph" w:styleId="PlainText">
    <w:name w:val="Plain Text"/>
    <w:basedOn w:val="Normal"/>
    <w:link w:val="PlainTextChar"/>
    <w:uiPriority w:val="99"/>
    <w:unhideWhenUsed/>
    <w:rsid w:val="006956C9"/>
    <w:rPr>
      <w:rFonts w:ascii="Calibri" w:eastAsia="Calibri" w:hAnsi="Calibri"/>
      <w:sz w:val="22"/>
      <w:szCs w:val="21"/>
      <w:lang w:eastAsia="en-US"/>
    </w:rPr>
  </w:style>
  <w:style w:type="character" w:customStyle="1" w:styleId="PlainTextChar">
    <w:name w:val="Plain Text Char"/>
    <w:link w:val="PlainText"/>
    <w:uiPriority w:val="99"/>
    <w:rsid w:val="006956C9"/>
    <w:rPr>
      <w:rFonts w:ascii="Calibri" w:eastAsia="Calibri" w:hAnsi="Calibri" w:cs="Times New Roman"/>
      <w:sz w:val="22"/>
      <w:szCs w:val="21"/>
      <w:lang w:eastAsia="en-US"/>
    </w:rPr>
  </w:style>
  <w:style w:type="character" w:customStyle="1" w:styleId="Menzionenonrisolta1">
    <w:name w:val="Menzione non risolta1"/>
    <w:basedOn w:val="DefaultParagraphFont"/>
    <w:uiPriority w:val="99"/>
    <w:semiHidden/>
    <w:unhideWhenUsed/>
    <w:rsid w:val="00DF67ED"/>
    <w:rPr>
      <w:color w:val="605E5C"/>
      <w:shd w:val="clear" w:color="auto" w:fill="E1DFDD"/>
    </w:rPr>
  </w:style>
  <w:style w:type="character" w:customStyle="1" w:styleId="Menzionenonrisolta2">
    <w:name w:val="Menzione non risolta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45977422">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434861832">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docId:6ED4D743C1BA7D28EED3113243D10826</cp:keywords>
  <cp:lastModifiedBy>Robert C</cp:lastModifiedBy>
  <cp:revision>5</cp:revision>
  <cp:lastPrinted>2022-04-14T12:06:00Z</cp:lastPrinted>
  <dcterms:created xsi:type="dcterms:W3CDTF">2022-06-27T17:36:00Z</dcterms:created>
  <dcterms:modified xsi:type="dcterms:W3CDTF">2022-06-28T11:05:00Z</dcterms:modified>
</cp:coreProperties>
</file>