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2B6C" w:rsidRDefault="00F340B7" w:rsidP="00F340B7">
      <w:pPr>
        <w:jc w:val="both"/>
        <w:rPr>
          <w:rStyle w:val="Nessuno"/>
        </w:rPr>
      </w:pPr>
      <w:r>
        <w:t xml:space="preserve">                             </w:t>
      </w:r>
      <w:r w:rsidR="00A23C4B">
        <w:rPr>
          <w:rStyle w:val="Nessuno"/>
          <w:i/>
          <w:iCs/>
        </w:rPr>
        <w:t xml:space="preserve">Comunicato stampa </w:t>
      </w:r>
    </w:p>
    <w:p w:rsidR="00832B6C" w:rsidRDefault="00832B6C">
      <w:pPr>
        <w:pStyle w:val="Heading4"/>
        <w:ind w:left="1701"/>
        <w:outlineLvl w:val="9"/>
        <w:rPr>
          <w:rFonts w:ascii="Cambria" w:eastAsia="Cambria" w:hAnsi="Cambria" w:cs="Cambria"/>
          <w:sz w:val="24"/>
          <w:szCs w:val="24"/>
        </w:rPr>
      </w:pPr>
    </w:p>
    <w:p w:rsidR="00832B6C" w:rsidRDefault="00A23C4B">
      <w:pPr>
        <w:pStyle w:val="Heading4"/>
        <w:ind w:left="1701"/>
        <w:jc w:val="both"/>
        <w:outlineLvl w:val="9"/>
        <w:rPr>
          <w:rStyle w:val="Nessuno"/>
          <w:b/>
          <w:bCs/>
          <w:sz w:val="28"/>
          <w:szCs w:val="28"/>
        </w:rPr>
      </w:pPr>
      <w:r>
        <w:rPr>
          <w:rStyle w:val="Nessuno"/>
          <w:b/>
          <w:bCs/>
          <w:sz w:val="28"/>
          <w:szCs w:val="28"/>
        </w:rPr>
        <w:t>Eventi fieristici: il successo dei “modelli ibridi”</w:t>
      </w:r>
    </w:p>
    <w:p w:rsidR="00832B6C" w:rsidRDefault="00832B6C">
      <w:pPr>
        <w:pStyle w:val="Heading4"/>
        <w:ind w:left="1701"/>
        <w:jc w:val="both"/>
        <w:outlineLvl w:val="9"/>
        <w:rPr>
          <w:b/>
          <w:bCs/>
          <w:i/>
          <w:iCs/>
          <w:sz w:val="28"/>
          <w:szCs w:val="28"/>
        </w:rPr>
      </w:pPr>
    </w:p>
    <w:p w:rsidR="00832B6C" w:rsidRDefault="00A23C4B">
      <w:pPr>
        <w:pStyle w:val="Heading4"/>
        <w:ind w:left="1701"/>
        <w:jc w:val="both"/>
        <w:outlineLvl w:val="9"/>
        <w:rPr>
          <w:rStyle w:val="Nessuno"/>
          <w:b/>
          <w:bCs/>
          <w:i/>
          <w:iCs/>
          <w:sz w:val="24"/>
          <w:szCs w:val="24"/>
        </w:rPr>
      </w:pPr>
      <w:r>
        <w:rPr>
          <w:rStyle w:val="Nessuno"/>
          <w:b/>
          <w:bCs/>
          <w:i/>
          <w:iCs/>
          <w:sz w:val="24"/>
          <w:szCs w:val="24"/>
        </w:rPr>
        <w:t xml:space="preserve">EIMA International, organizzata da </w:t>
      </w:r>
      <w:r w:rsidRPr="00A23C4B">
        <w:rPr>
          <w:rStyle w:val="Nessuno"/>
          <w:b/>
          <w:bCs/>
          <w:i/>
          <w:iCs/>
          <w:sz w:val="24"/>
          <w:szCs w:val="24"/>
        </w:rPr>
        <w:t>FederUnacoma</w:t>
      </w:r>
      <w:r>
        <w:rPr>
          <w:rStyle w:val="Nessuno"/>
          <w:b/>
          <w:bCs/>
          <w:i/>
          <w:iCs/>
          <w:sz w:val="24"/>
          <w:szCs w:val="24"/>
        </w:rPr>
        <w:t>,</w:t>
      </w:r>
      <w:bookmarkStart w:id="0" w:name="_GoBack"/>
      <w:r w:rsidR="00E21D98">
        <w:rPr>
          <w:rStyle w:val="Nessuno"/>
          <w:b/>
          <w:bCs/>
          <w:i/>
          <w:iCs/>
          <w:sz w:val="24"/>
          <w:szCs w:val="24"/>
        </w:rPr>
        <w:t xml:space="preserve"> </w:t>
      </w:r>
      <w:r>
        <w:rPr>
          <w:rStyle w:val="Nessuno"/>
          <w:b/>
          <w:bCs/>
          <w:i/>
          <w:iCs/>
          <w:sz w:val="24"/>
          <w:szCs w:val="24"/>
        </w:rPr>
        <w:t xml:space="preserve">è </w:t>
      </w:r>
      <w:bookmarkEnd w:id="0"/>
      <w:r>
        <w:rPr>
          <w:rStyle w:val="Nessuno"/>
          <w:b/>
          <w:bCs/>
          <w:i/>
          <w:iCs/>
          <w:sz w:val="24"/>
          <w:szCs w:val="24"/>
        </w:rPr>
        <w:t xml:space="preserve">il primo esempio di una fiera della meccanica agricola con formula mista che prevede piattaforma digitale ed esposizione fisica di tipo tradizionale. Si tratta di un “mix” promettente – sostengono gli esperti intervenuti questo pomeriggio a Bologna all’assemblea FederUnacoma – che richiede tecnologie digitali di ultima generazione, e avanzati sistemi di organizzazione e prevenzione sanitaria nel quartiere fieristico. </w:t>
      </w:r>
    </w:p>
    <w:p w:rsidR="00832B6C" w:rsidRDefault="00832B6C">
      <w:pPr>
        <w:pStyle w:val="Heading4"/>
        <w:ind w:left="1701"/>
        <w:jc w:val="both"/>
        <w:outlineLvl w:val="9"/>
        <w:rPr>
          <w:sz w:val="24"/>
          <w:szCs w:val="24"/>
        </w:rPr>
      </w:pPr>
    </w:p>
    <w:p w:rsidR="00832B6C" w:rsidRDefault="00A23C4B">
      <w:pPr>
        <w:pStyle w:val="Heading4"/>
        <w:ind w:left="1701"/>
        <w:jc w:val="both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L’emergenza sanitaria ha accelerato la diffusione dei sistemi “da remoto" e anche nel settore fieristico ci si aspetta una diffusione delle piattaforme di realtà virtuale. Il modello più efficace vede l’affiancamento della fiera virtuale a quella fisica tradizionale, e in questo senso è orientato il progetto dell’EIMA, la grande rassegna mondiale della meccanica agricola che terrà la propria edizione virtuale dall’11 al 15 novembre prossimo e quella fisica tradizionale dal 3 al 7 febbraio 2021. Delle nuove prospettive del settore fieristico si è parlato nel corso dell’Assemblea annuale di FederUnacoma, l’associazione italiana dei costruttori, svoltasi questo pomeriggio a Bologna, che ha visto la partecipazione di autorità pubbliche ed esperti del settore. </w:t>
      </w:r>
    </w:p>
    <w:p w:rsidR="00832B6C" w:rsidRDefault="00A23C4B">
      <w:pPr>
        <w:pStyle w:val="Heading4"/>
        <w:ind w:left="1701"/>
        <w:jc w:val="both"/>
        <w:outlineLvl w:val="9"/>
        <w:rPr>
          <w:sz w:val="24"/>
          <w:szCs w:val="24"/>
        </w:rPr>
      </w:pPr>
      <w:r>
        <w:rPr>
          <w:sz w:val="24"/>
          <w:szCs w:val="24"/>
        </w:rPr>
        <w:t>Sabina Addamiano, docente di marketing all'Università di Roma Tre, ha analizzato i cambiamenti indotti dall’emergenza Covid 19 nelle dinamiche di mercato.  «La presenza dell'Information Technology nelle logiche fieristiche è un processo destinato a crescere nel breve periodo – ha sostenuto Addamiano – ma questo non sostituirà l’esperienza della fiera fisica, che non soltanto risulta necessaria nel caso di beni strumentali come sono i macchinari agricoli, ma che nella psicologia dell’operatore e del visitatore rappresenta la dimensione relazionale e l’elemento emotivo, tuttora fondamentali nel marketing.”</w:t>
      </w:r>
    </w:p>
    <w:p w:rsidR="00832B6C" w:rsidRDefault="00A23C4B">
      <w:pPr>
        <w:pStyle w:val="Heading4"/>
        <w:ind w:left="1701"/>
        <w:jc w:val="both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Francesco De Nobili, consulente e formatore nel campo del digital marketing integrato, ha affrontato il tema della promozione e della preparazione degli eventi fieristici attraverso lo strumento dei webinar. "Dai video </w:t>
      </w:r>
      <w:r>
        <w:rPr>
          <w:rStyle w:val="Nessuno"/>
          <w:i/>
          <w:iCs/>
          <w:sz w:val="24"/>
          <w:szCs w:val="24"/>
        </w:rPr>
        <w:t xml:space="preserve">one to one </w:t>
      </w:r>
      <w:r>
        <w:rPr>
          <w:sz w:val="24"/>
          <w:szCs w:val="24"/>
        </w:rPr>
        <w:t xml:space="preserve">a quelli </w:t>
      </w:r>
      <w:r>
        <w:rPr>
          <w:rStyle w:val="Nessuno"/>
          <w:i/>
          <w:iCs/>
          <w:sz w:val="24"/>
          <w:szCs w:val="24"/>
        </w:rPr>
        <w:t>one to many</w:t>
      </w:r>
      <w:r>
        <w:rPr>
          <w:sz w:val="24"/>
          <w:szCs w:val="24"/>
        </w:rPr>
        <w:t xml:space="preserve">, fino alle tecniche di </w:t>
      </w:r>
      <w:r>
        <w:rPr>
          <w:rStyle w:val="Nessuno"/>
          <w:i/>
          <w:iCs/>
          <w:sz w:val="24"/>
          <w:szCs w:val="24"/>
        </w:rPr>
        <w:t>video editing</w:t>
      </w:r>
      <w:r>
        <w:rPr>
          <w:sz w:val="24"/>
          <w:szCs w:val="24"/>
        </w:rPr>
        <w:t xml:space="preserve"> -  ha evidenziato De Nobili - il linguaggio del marketing sta subendo evoluzioni rapide e per questo un ruolo fondamentale assume la formazione permanente degli addetti al marketing e della forza vendita aziendale".</w:t>
      </w:r>
    </w:p>
    <w:p w:rsidR="00832B6C" w:rsidRDefault="00A23C4B">
      <w:pPr>
        <w:pStyle w:val="Heading4"/>
        <w:ind w:left="1701"/>
        <w:jc w:val="both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In questo scenario, che conferma l'importanza delle rassegne tradizionali, diviene decisivo il fattore organizzativo, e in particolare il sostegno del Ministero degli Affari Esteri e della Cooperazione Internazionale, e dell’ICE Agenzia, impegnati a predisporre forme di sostegno alle imprese e a realizzare quei “corridoi verdi” che consentono agli operatori esteri di partecipare agli eventi fieristici in condizioni di sicurezza e con procedure accelerate di verifica sanitaria. Il Direttore Generale della Direzione per la Promozione del Sistema Paese del Ministero degli Affari Esteri e della Cooperazione Internazionale, Lorenzo Angeloni, ha ricordato la forte vocazione all'export dell’agro-meccanica  italiana, che ha dimostrato di saper competere con successo sui principali mercati mondiali. «Oggi per le imprese italiane possono aprirsi altre opportunità non solo in Europa e negli Stati Uniti ma - ha detto Angeloni - anche in Asia e in Africa, dove ci sono prospettive di crescita estremamente interessanti. L'azione della nostra rete a fianco delle aziende può aiutarle a cogliere queste opportunità». Tra gli strumenti di sostegno messi a punto dal Ministero, Angeloni ha ricordato il Patto per l'Export, che si sviluppa su sei direttrici relative a formazione e informazione; comunicazione del brand Italia nel mondo; promozione integrata attraverso la rete diplomatica all'estero; e-commerce; </w:t>
      </w:r>
      <w:r>
        <w:rPr>
          <w:sz w:val="24"/>
          <w:szCs w:val="24"/>
        </w:rPr>
        <w:lastRenderedPageBreak/>
        <w:t xml:space="preserve">sistema fieristico (con i corridoi verdi); finanza agevolata, anche attraverso  il fondo 394.  Gestito da Simest e finalizzato all'internazionalizzazione delle aziende italiane, il fondo prevede misure a favore delle fiere di rilevanza internazionale. </w:t>
      </w:r>
    </w:p>
    <w:p w:rsidR="00832B6C" w:rsidRDefault="00832B6C">
      <w:pPr>
        <w:pStyle w:val="Heading4"/>
        <w:ind w:left="1701"/>
        <w:jc w:val="both"/>
        <w:outlineLvl w:val="9"/>
        <w:rPr>
          <w:b/>
          <w:bCs/>
          <w:sz w:val="24"/>
          <w:szCs w:val="24"/>
        </w:rPr>
      </w:pPr>
    </w:p>
    <w:p w:rsidR="00832B6C" w:rsidRDefault="00A23C4B">
      <w:pPr>
        <w:pStyle w:val="Heading4"/>
        <w:ind w:left="1701"/>
        <w:jc w:val="both"/>
        <w:outlineLvl w:val="9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Bologna, 24 settembre 2020</w:t>
      </w:r>
    </w:p>
    <w:p w:rsidR="00832B6C" w:rsidRDefault="00832B6C">
      <w:pPr>
        <w:pStyle w:val="Heading4"/>
        <w:ind w:left="1701"/>
        <w:jc w:val="both"/>
        <w:outlineLvl w:val="9"/>
        <w:rPr>
          <w:rFonts w:ascii="Cambria" w:eastAsia="Cambria" w:hAnsi="Cambria" w:cs="Cambria"/>
          <w:b/>
          <w:bCs/>
          <w:sz w:val="24"/>
          <w:szCs w:val="24"/>
        </w:rPr>
      </w:pPr>
    </w:p>
    <w:p w:rsidR="00832B6C" w:rsidRDefault="00832B6C">
      <w:pPr>
        <w:pStyle w:val="Heading4"/>
        <w:ind w:left="1701"/>
        <w:jc w:val="both"/>
        <w:outlineLvl w:val="9"/>
        <w:rPr>
          <w:rFonts w:ascii="Cambria" w:eastAsia="Cambria" w:hAnsi="Cambria" w:cs="Cambria"/>
          <w:b/>
          <w:bCs/>
          <w:sz w:val="24"/>
          <w:szCs w:val="24"/>
        </w:rPr>
      </w:pPr>
    </w:p>
    <w:p w:rsidR="00832B6C" w:rsidRDefault="00832B6C">
      <w:pPr>
        <w:pStyle w:val="Heading4"/>
        <w:outlineLvl w:val="9"/>
        <w:rPr>
          <w:rFonts w:ascii="Cambria" w:eastAsia="Cambria" w:hAnsi="Cambria" w:cs="Cambria"/>
          <w:b/>
          <w:bCs/>
          <w:sz w:val="24"/>
          <w:szCs w:val="24"/>
        </w:rPr>
      </w:pPr>
    </w:p>
    <w:p w:rsidR="00832B6C" w:rsidRDefault="00832B6C">
      <w:pPr>
        <w:ind w:left="1843"/>
        <w:jc w:val="both"/>
        <w:rPr>
          <w:rStyle w:val="Nessuno"/>
          <w:b/>
          <w:bCs/>
        </w:rPr>
      </w:pPr>
    </w:p>
    <w:p w:rsidR="00832B6C" w:rsidRDefault="00A23C4B">
      <w:pPr>
        <w:tabs>
          <w:tab w:val="left" w:pos="2304"/>
        </w:tabs>
        <w:ind w:left="1843"/>
        <w:jc w:val="both"/>
      </w:pPr>
      <w:r>
        <w:rPr>
          <w:rStyle w:val="Nessuno"/>
        </w:rPr>
        <w:tab/>
      </w:r>
    </w:p>
    <w:p w:rsidR="00832B6C" w:rsidRDefault="00A23C4B">
      <w:pPr>
        <w:tabs>
          <w:tab w:val="left" w:pos="3864"/>
        </w:tabs>
        <w:ind w:left="1843"/>
        <w:jc w:val="both"/>
      </w:pPr>
      <w:r>
        <w:rPr>
          <w:rStyle w:val="Nessuno"/>
        </w:rPr>
        <w:tab/>
      </w:r>
    </w:p>
    <w:p w:rsidR="00832B6C" w:rsidRDefault="00832B6C">
      <w:pPr>
        <w:ind w:left="1843"/>
        <w:jc w:val="both"/>
      </w:pPr>
    </w:p>
    <w:p w:rsidR="00832B6C" w:rsidRDefault="00832B6C">
      <w:pPr>
        <w:jc w:val="both"/>
      </w:pPr>
    </w:p>
    <w:sectPr w:rsidR="00832B6C" w:rsidSect="00005438">
      <w:headerReference w:type="default" r:id="rId6"/>
      <w:footerReference w:type="default" r:id="rId7"/>
      <w:pgSz w:w="11900" w:h="16840"/>
      <w:pgMar w:top="567" w:right="425" w:bottom="828" w:left="1134" w:header="709" w:footer="195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6FBD" w:rsidRDefault="00F66FBD">
      <w:r>
        <w:separator/>
      </w:r>
    </w:p>
  </w:endnote>
  <w:endnote w:type="continuationSeparator" w:id="1">
    <w:p w:rsidR="00F66FBD" w:rsidRDefault="00F66F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Neue">
    <w:altName w:val="Malgun Gothic"/>
    <w:charset w:val="00"/>
    <w:family w:val="auto"/>
    <w:pitch w:val="variable"/>
    <w:sig w:usb0="00000003" w:usb1="500079DB" w:usb2="0000001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6C" w:rsidRDefault="00832B6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6FBD" w:rsidRDefault="00F66FBD">
      <w:r>
        <w:separator/>
      </w:r>
    </w:p>
  </w:footnote>
  <w:footnote w:type="continuationSeparator" w:id="1">
    <w:p w:rsidR="00F66FBD" w:rsidRDefault="00F66F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6C" w:rsidRDefault="00A23C4B">
    <w:pPr>
      <w:pStyle w:val="Intestazione"/>
      <w:tabs>
        <w:tab w:val="clear" w:pos="9638"/>
      </w:tabs>
    </w:pPr>
    <w:r>
      <w:rPr>
        <w:noProof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-304799</wp:posOffset>
          </wp:positionH>
          <wp:positionV relativeFrom="page">
            <wp:posOffset>22224</wp:posOffset>
          </wp:positionV>
          <wp:extent cx="7560310" cy="10676256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CI FEDERUNACOMA B.jpe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7625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 w:rsidR="00503289">
      <w:rPr>
        <w:noProof/>
      </w:rPr>
      <w:pict>
        <v:group id="_x0000_s1026" style="position:absolute;margin-left:562.5pt;margin-top:764.2pt;width:44.3pt;height:44.3pt;z-index:-251656192;mso-wrap-distance-left:12pt;mso-wrap-distance-top:12pt;mso-wrap-distance-right:12pt;mso-wrap-distance-bottom:12pt;mso-position-horizontal-relative:page;mso-position-vertical-relative:page" coordsize="561975,561975">
          <v:oval id="_x0000_s1027" style="position:absolute;width:561975;height:561975;rotation:180;flip:x" filled="f" strokecolor="#a7bfde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180083;top:88643;width:201809;height:384689" filled="f" stroked="f" strokeweight="1pt">
            <v:stroke miterlimit="4"/>
            <v:textbox>
              <w:txbxContent>
                <w:p w:rsidR="00005438" w:rsidRDefault="00503289">
                  <w:r>
                    <w:rPr>
                      <w:rStyle w:val="Nessuno"/>
                    </w:rPr>
                    <w:fldChar w:fldCharType="begin"/>
                  </w:r>
                  <w:r w:rsidR="00834BBD">
                    <w:rPr>
                      <w:rStyle w:val="Nessuno"/>
                    </w:rPr>
                    <w:instrText xml:space="preserve"> PAGE </w:instrText>
                  </w:r>
                  <w:r>
                    <w:rPr>
                      <w:rStyle w:val="Nessuno"/>
                    </w:rPr>
                    <w:fldChar w:fldCharType="separate"/>
                  </w:r>
                  <w:r w:rsidR="00F66FBD">
                    <w:rPr>
                      <w:rStyle w:val="Nessuno"/>
                      <w:noProof/>
                    </w:rPr>
                    <w:t>1</w:t>
                  </w:r>
                  <w:r>
                    <w:rPr>
                      <w:rStyle w:val="Nessuno"/>
                    </w:rPr>
                    <w:fldChar w:fldCharType="end"/>
                  </w:r>
                </w:p>
              </w:txbxContent>
            </v:textbox>
          </v:shape>
          <w10:wrap anchorx="page" anchory="page"/>
        </v:group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283"/>
  <w:characterSpacingControl w:val="doNotCompress"/>
  <w:savePreviewPicture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832B6C"/>
    <w:rsid w:val="00005438"/>
    <w:rsid w:val="00503289"/>
    <w:rsid w:val="00832B6C"/>
    <w:rsid w:val="00834BBD"/>
    <w:rsid w:val="00A23C4B"/>
    <w:rsid w:val="00E21D98"/>
    <w:rsid w:val="00F340B7"/>
    <w:rsid w:val="00F66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005438"/>
    <w:rPr>
      <w:rFonts w:cs="Arial Unicode MS"/>
      <w:color w:val="000000"/>
      <w:sz w:val="24"/>
      <w:szCs w:val="24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05438"/>
    <w:rPr>
      <w:u w:val="single"/>
    </w:rPr>
  </w:style>
  <w:style w:type="table" w:customStyle="1" w:styleId="TableNormal">
    <w:name w:val="Table Normal"/>
    <w:rsid w:val="0000543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005438"/>
    <w:pPr>
      <w:tabs>
        <w:tab w:val="center" w:pos="4819"/>
        <w:tab w:val="right" w:pos="9638"/>
      </w:tabs>
      <w:outlineLvl w:val="0"/>
    </w:pPr>
    <w:rPr>
      <w:rFonts w:cs="Arial Unicode MS"/>
      <w:color w:val="000000"/>
      <w:sz w:val="24"/>
      <w:szCs w:val="24"/>
      <w:u w:color="000000"/>
    </w:rPr>
  </w:style>
  <w:style w:type="paragraph" w:styleId="Pidipagina">
    <w:name w:val="footer"/>
    <w:rsid w:val="00005438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  <w:rsid w:val="00005438"/>
  </w:style>
  <w:style w:type="paragraph" w:customStyle="1" w:styleId="Heading4">
    <w:name w:val="Heading 4"/>
    <w:rsid w:val="00005438"/>
    <w:pPr>
      <w:outlineLvl w:val="2"/>
    </w:pPr>
    <w:rPr>
      <w:rFonts w:eastAsia="Times New Roman"/>
      <w:color w:val="000000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cs="Arial Unicode MS"/>
      <w:color w:val="000000"/>
      <w:sz w:val="24"/>
      <w:szCs w:val="24"/>
      <w:u w:color="00000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pPr>
      <w:tabs>
        <w:tab w:val="center" w:pos="4819"/>
        <w:tab w:val="right" w:pos="9638"/>
      </w:tabs>
      <w:outlineLvl w:val="0"/>
    </w:pPr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Pidipagina">
    <w:name w:val="footer"/>
    <w:pPr>
      <w:tabs>
        <w:tab w:val="center" w:pos="4819"/>
        <w:tab w:val="right" w:pos="9638"/>
      </w:tabs>
    </w:pPr>
    <w:rPr>
      <w:rFonts w:cs="Arial Unicode MS"/>
      <w:color w:val="000000"/>
      <w:sz w:val="24"/>
      <w:szCs w:val="24"/>
      <w:u w:color="000000"/>
    </w:rPr>
  </w:style>
  <w:style w:type="character" w:customStyle="1" w:styleId="Nessuno">
    <w:name w:val="Nessuno"/>
  </w:style>
  <w:style w:type="paragraph" w:customStyle="1" w:styleId="Heading4">
    <w:name w:val="Heading 4"/>
    <w:pPr>
      <w:outlineLvl w:val="2"/>
    </w:pPr>
    <w:rPr>
      <w:rFonts w:eastAsia="Times New Roman"/>
      <w:color w:val="000000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620</Words>
  <Characters>3540</Characters>
  <Application>Microsoft Office Word</Application>
  <DocSecurity>0</DocSecurity>
  <Lines>29</Lines>
  <Paragraphs>8</Paragraphs>
  <ScaleCrop>false</ScaleCrop>
  <Company/>
  <LinksUpToDate>false</LinksUpToDate>
  <CharactersWithSpaces>4152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Patrizia</dc:creator>
  <cp:lastModifiedBy>Patrizia</cp:lastModifiedBy>
  <cp:revision>3</cp:revision>
  <dcterms:created xsi:type="dcterms:W3CDTF">2020-09-24T17:42:00Z</dcterms:created>
  <dcterms:modified xsi:type="dcterms:W3CDTF">2020-09-24T17:44:00Z</dcterms:modified>
</cp:coreProperties>
</file>