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AC12E" w14:textId="77777777" w:rsidR="00C00BBF" w:rsidRPr="00DF75DB" w:rsidRDefault="001C6446" w:rsidP="00C00BBF">
      <w:pPr>
        <w:ind w:left="2127"/>
        <w:jc w:val="both"/>
        <w:rPr>
          <w:i/>
          <w:iCs/>
        </w:rPr>
      </w:pPr>
      <w:r w:rsidRPr="00DF75DB">
        <w:rPr>
          <w:i/>
          <w:iCs/>
        </w:rPr>
        <w:t>Press Release</w:t>
      </w:r>
    </w:p>
    <w:p w14:paraId="1316BE05" w14:textId="77777777" w:rsidR="00C00BBF" w:rsidRPr="00DF75DB" w:rsidRDefault="00C00BBF" w:rsidP="00C00BBF">
      <w:pPr>
        <w:ind w:left="2127"/>
        <w:jc w:val="both"/>
        <w:rPr>
          <w:i/>
          <w:iCs/>
          <w:sz w:val="10"/>
          <w:szCs w:val="10"/>
        </w:rPr>
      </w:pPr>
    </w:p>
    <w:p w14:paraId="13548F2A" w14:textId="77777777" w:rsidR="007C0062" w:rsidRPr="00DF75DB" w:rsidRDefault="007C0062" w:rsidP="007C0062">
      <w:pPr>
        <w:ind w:left="2127"/>
        <w:jc w:val="both"/>
        <w:rPr>
          <w:b/>
          <w:bCs/>
          <w:sz w:val="28"/>
          <w:szCs w:val="28"/>
        </w:rPr>
      </w:pPr>
      <w:r w:rsidRPr="00DF75DB">
        <w:rPr>
          <w:b/>
          <w:bCs/>
          <w:sz w:val="28"/>
          <w:szCs w:val="28"/>
        </w:rPr>
        <w:t>Agricultural Machinery: Italian Sales on the Rise in 2025</w:t>
      </w:r>
    </w:p>
    <w:p w14:paraId="2E04EB5E" w14:textId="77777777" w:rsidR="007C0062" w:rsidRPr="00DF75DB" w:rsidRDefault="007C0062" w:rsidP="007C0062">
      <w:pPr>
        <w:ind w:left="2127"/>
        <w:jc w:val="both"/>
        <w:rPr>
          <w:b/>
          <w:bCs/>
          <w:sz w:val="10"/>
          <w:szCs w:val="10"/>
        </w:rPr>
      </w:pPr>
    </w:p>
    <w:p w14:paraId="0DC635F7" w14:textId="1423AC54" w:rsidR="007C0062" w:rsidRPr="00DF75DB" w:rsidRDefault="007C0062" w:rsidP="007C0062">
      <w:pPr>
        <w:ind w:left="2127"/>
        <w:jc w:val="both"/>
        <w:rPr>
          <w:b/>
          <w:bCs/>
          <w:i/>
          <w:iCs/>
        </w:rPr>
      </w:pPr>
      <w:r w:rsidRPr="00DF75DB">
        <w:rPr>
          <w:b/>
          <w:bCs/>
          <w:i/>
          <w:iCs/>
        </w:rPr>
        <w:t xml:space="preserve">The resilience of the domestic market offsets the decline in exports, driving the production of the </w:t>
      </w:r>
      <w:proofErr w:type="spellStart"/>
      <w:r w:rsidR="00F5069F">
        <w:rPr>
          <w:b/>
          <w:bCs/>
          <w:i/>
          <w:iCs/>
        </w:rPr>
        <w:t>Italian</w:t>
      </w:r>
      <w:proofErr w:type="spellEnd"/>
      <w:r w:rsidR="00F5069F">
        <w:rPr>
          <w:b/>
          <w:bCs/>
          <w:i/>
          <w:iCs/>
        </w:rPr>
        <w:t xml:space="preserve"> </w:t>
      </w:r>
      <w:proofErr w:type="spellStart"/>
      <w:r w:rsidR="00F5069F">
        <w:rPr>
          <w:b/>
          <w:bCs/>
          <w:i/>
          <w:iCs/>
        </w:rPr>
        <w:t>agromachinery</w:t>
      </w:r>
      <w:proofErr w:type="spellEnd"/>
      <w:r w:rsidRPr="00DF75DB">
        <w:rPr>
          <w:b/>
          <w:bCs/>
          <w:i/>
          <w:iCs/>
        </w:rPr>
        <w:t xml:space="preserve"> </w:t>
      </w:r>
      <w:proofErr w:type="spellStart"/>
      <w:r w:rsidRPr="00DF75DB">
        <w:rPr>
          <w:b/>
          <w:bCs/>
          <w:i/>
          <w:iCs/>
        </w:rPr>
        <w:t>industry</w:t>
      </w:r>
      <w:proofErr w:type="spellEnd"/>
      <w:r w:rsidRPr="00DF75DB">
        <w:rPr>
          <w:b/>
          <w:bCs/>
          <w:i/>
          <w:iCs/>
        </w:rPr>
        <w:t xml:space="preserve">, </w:t>
      </w:r>
      <w:proofErr w:type="spellStart"/>
      <w:r w:rsidRPr="00DF75DB">
        <w:rPr>
          <w:b/>
          <w:bCs/>
          <w:i/>
          <w:iCs/>
        </w:rPr>
        <w:t>which</w:t>
      </w:r>
      <w:proofErr w:type="spellEnd"/>
      <w:r w:rsidRPr="00DF75DB">
        <w:rPr>
          <w:b/>
          <w:bCs/>
          <w:i/>
          <w:iCs/>
        </w:rPr>
        <w:t xml:space="preserve"> </w:t>
      </w:r>
      <w:proofErr w:type="spellStart"/>
      <w:r w:rsidRPr="00DF75DB">
        <w:rPr>
          <w:b/>
          <w:bCs/>
          <w:i/>
          <w:iCs/>
        </w:rPr>
        <w:t>closes</w:t>
      </w:r>
      <w:proofErr w:type="spellEnd"/>
      <w:r w:rsidRPr="00DF75DB">
        <w:rPr>
          <w:b/>
          <w:bCs/>
          <w:i/>
          <w:iCs/>
        </w:rPr>
        <w:t xml:space="preserve"> out 2025 with a total value of 14.3 billion euros (+2.1%). Looking at the various production sectors, growth is seen in components, spare parts, and tractor parts, as well as in gardening machinery and equipment; conversely, sales of tractors and other agricultural machinery are down. The decline in exports, due primarily to U.S. tariff policies, does not compromise the trade surplus.</w:t>
      </w:r>
    </w:p>
    <w:p w14:paraId="0810FCC8" w14:textId="77777777" w:rsidR="007C0062" w:rsidRPr="00DF75DB" w:rsidRDefault="007C0062" w:rsidP="007C0062">
      <w:pPr>
        <w:ind w:left="2127"/>
        <w:jc w:val="both"/>
        <w:rPr>
          <w:sz w:val="10"/>
          <w:szCs w:val="10"/>
        </w:rPr>
      </w:pPr>
    </w:p>
    <w:p w14:paraId="0EBE330A" w14:textId="412CABDE" w:rsidR="007C0062" w:rsidRPr="00DF75DB" w:rsidRDefault="007C0062" w:rsidP="00F5069F">
      <w:pPr>
        <w:ind w:left="2127"/>
        <w:jc w:val="both"/>
      </w:pPr>
      <w:r w:rsidRPr="001C33A3">
        <w:rPr>
          <w:lang w:val="es-ES_tradnl"/>
        </w:rPr>
        <w:t>Geopolitical tensions, tarif</w:t>
      </w:r>
      <w:r w:rsidR="00F5069F" w:rsidRPr="001C33A3">
        <w:rPr>
          <w:lang w:val="es-ES_tradnl"/>
        </w:rPr>
        <w:t>fs</w:t>
      </w:r>
      <w:r w:rsidRPr="001C33A3">
        <w:rPr>
          <w:lang w:val="es-ES_tradnl"/>
        </w:rPr>
        <w:t xml:space="preserve"> and rising production costs continued to affect the agricultural machinery sector throughout 2025, but the Italian industry has remained largely resilient. In fact, last year’s final figures show a slight increase in the total value of production (+2.1%), reaching 14.3 billion euros. Growth was driven, in particular, by the components sector (+7.6% to 3.5 billion</w:t>
      </w:r>
      <w:r w:rsidR="00F5069F" w:rsidRPr="001C33A3">
        <w:rPr>
          <w:lang w:val="es-ES_tradnl"/>
        </w:rPr>
        <w:t xml:space="preserve"> euros</w:t>
      </w:r>
      <w:r w:rsidRPr="001C33A3">
        <w:rPr>
          <w:lang w:val="es-ES_tradnl"/>
        </w:rPr>
        <w:t xml:space="preserve">) and the spare parts and machine parts sector (+8.6% to 1.3 billion)—product categories that can approach markets in a more dynamic and flexible manner and that remain particularly strategic for companies in the sector. Garden machinery and equipment also posted positive growth (+8.3% to 900 million), while tractors and other agricultural machinery saw a slight decline, falling by 1.7% (to a total of 1.9 billion) and 1.4% (to 6.7 billion), respectively. The year-end results were positively influenced by the increase in domestic sales, which affected the main types of machinery—from tractors (+13.7%) to transporters (+45.9%) to telescopic handlers (+17.5%)—and brought an end to an unfavorable economic trend that began in 2022. These increases—as explained by FederUnacoma President Mariateresa Maschio during the Federation’s Annual Meeting, held this afternoon at the Palazzo di Varignana (Bologna)—offset the decline in exports, which were down slightly (-1.7%) compared to the previous twelve months. Overall, the value of </w:t>
      </w:r>
      <w:r w:rsidR="00F5069F" w:rsidRPr="001C33A3">
        <w:rPr>
          <w:lang w:val="es-ES_tradnl"/>
        </w:rPr>
        <w:t>Italian agricultural machinery</w:t>
      </w:r>
      <w:r w:rsidRPr="001C33A3">
        <w:rPr>
          <w:lang w:val="es-ES_tradnl"/>
        </w:rPr>
        <w:t xml:space="preserve"> exports stood at 6.7 billion, comprising tractors (1.4 billion, -2.9%), construction machinery and equipment (4.4 billion, -3.2%), and incomplete tractors and spare parts (+8.3%). “The decline in overseas sales is due in particular to tariff policies</w:t>
      </w:r>
      <w:r w:rsidR="00F5069F" w:rsidRPr="001C33A3">
        <w:rPr>
          <w:lang w:val="es-ES_tradnl"/>
        </w:rPr>
        <w:t xml:space="preserve"> adopted by the American governement, since. in 2023 and 2024 </w:t>
      </w:r>
      <w:r w:rsidRPr="001C33A3">
        <w:rPr>
          <w:lang w:val="es-ES_tradnl"/>
        </w:rPr>
        <w:t>—as Mariateresa Maschio explained—</w:t>
      </w:r>
      <w:r w:rsidR="00F5069F" w:rsidRPr="001C33A3">
        <w:rPr>
          <w:lang w:val="es-ES_tradnl"/>
        </w:rPr>
        <w:t xml:space="preserve"> </w:t>
      </w:r>
      <w:r w:rsidRPr="001C33A3">
        <w:rPr>
          <w:lang w:val="es-ES_tradnl"/>
        </w:rPr>
        <w:t xml:space="preserve">the U.S. </w:t>
      </w:r>
      <w:r w:rsidR="00F5069F" w:rsidRPr="001C33A3">
        <w:rPr>
          <w:lang w:val="es-ES_tradnl"/>
        </w:rPr>
        <w:t xml:space="preserve">market was </w:t>
      </w:r>
      <w:r w:rsidRPr="001C33A3">
        <w:rPr>
          <w:lang w:val="es-ES_tradnl"/>
        </w:rPr>
        <w:t>the leading destination for Italian-made agricultural technologies</w:t>
      </w:r>
      <w:r w:rsidR="00F5069F" w:rsidRPr="001C33A3">
        <w:rPr>
          <w:lang w:val="es-ES_tradnl"/>
        </w:rPr>
        <w:t xml:space="preserve">”. </w:t>
      </w:r>
      <w:r w:rsidRPr="001C33A3">
        <w:rPr>
          <w:lang w:val="es-ES_tradnl"/>
        </w:rPr>
        <w:t>“U.S. tariffs resulted in a loss of over 230 million euros; without this loss</w:t>
      </w:r>
      <w:r w:rsidR="00F5069F" w:rsidRPr="001C33A3">
        <w:rPr>
          <w:lang w:val="es-ES_tradnl"/>
        </w:rPr>
        <w:t xml:space="preserve"> – added the presidente of FederUnacoma -</w:t>
      </w:r>
      <w:r w:rsidRPr="001C33A3">
        <w:rPr>
          <w:lang w:val="es-ES_tradnl"/>
        </w:rPr>
        <w:t xml:space="preserve"> the sector’s exports would have closed 2025 at the same levels as the previous year.” However, the decline in foreign sales and the increase in imports (+8.6% in value) did not compromise the trade balance</w:t>
      </w:r>
      <w:r w:rsidR="00F5069F" w:rsidRPr="001C33A3">
        <w:rPr>
          <w:lang w:val="es-ES_tradnl"/>
        </w:rPr>
        <w:t xml:space="preserve"> of the sector</w:t>
      </w:r>
      <w:r w:rsidRPr="001C33A3">
        <w:rPr>
          <w:lang w:val="es-ES_tradnl"/>
        </w:rPr>
        <w:t xml:space="preserve">, which remains in surplus by 4.6 billion euros. </w:t>
      </w:r>
      <w:r w:rsidRPr="00DF75DB">
        <w:t xml:space="preserve">“To </w:t>
      </w:r>
      <w:proofErr w:type="spellStart"/>
      <w:r w:rsidRPr="00DF75DB">
        <w:t>strengthen</w:t>
      </w:r>
      <w:proofErr w:type="spellEnd"/>
      <w:r w:rsidRPr="00DF75DB">
        <w:t xml:space="preserve"> </w:t>
      </w:r>
      <w:proofErr w:type="spellStart"/>
      <w:r w:rsidRPr="00DF75DB">
        <w:t>Italy’s</w:t>
      </w:r>
      <w:proofErr w:type="spellEnd"/>
      <w:r w:rsidRPr="00DF75DB">
        <w:t xml:space="preserve"> </w:t>
      </w:r>
      <w:proofErr w:type="spellStart"/>
      <w:r w:rsidRPr="00DF75DB">
        <w:t>presence</w:t>
      </w:r>
      <w:proofErr w:type="spellEnd"/>
      <w:r w:rsidRPr="00DF75DB">
        <w:t xml:space="preserve"> in foreign markets,” Mariateresa Maschio concluded, “the Federation is stepping up its exploration and promotion efforts in new markets, such as those in Latin America, Southeast Asia, and Africa.”</w:t>
      </w:r>
    </w:p>
    <w:p w14:paraId="6D4FB47D" w14:textId="05CEE6DA" w:rsidR="00293662" w:rsidRPr="00DF75DB" w:rsidRDefault="007C0062" w:rsidP="007C0062">
      <w:pPr>
        <w:pStyle w:val="Titolo1"/>
        <w:shd w:val="clear" w:color="auto" w:fill="FFFFFF"/>
        <w:ind w:left="2127"/>
        <w:jc w:val="both"/>
        <w:rPr>
          <w:rFonts w:ascii="Times New Roman" w:hAnsi="Times New Roman"/>
          <w:color w:val="333333"/>
          <w:sz w:val="24"/>
          <w:szCs w:val="24"/>
          <w:u w:color="333333"/>
        </w:rPr>
      </w:pPr>
      <w:r w:rsidRPr="00DF75DB">
        <w:rPr>
          <w:rFonts w:ascii="Times New Roman" w:hAnsi="Times New Roman"/>
          <w:color w:val="333333"/>
          <w:sz w:val="24"/>
          <w:szCs w:val="24"/>
          <w:u w:color="333333"/>
        </w:rPr>
        <w:t>Varignana (BO),  June 22,</w:t>
      </w:r>
      <w:r w:rsidR="00C00BBF" w:rsidRPr="00DF75DB">
        <w:rPr>
          <w:rFonts w:ascii="Times New Roman" w:hAnsi="Times New Roman"/>
          <w:color w:val="333333"/>
          <w:sz w:val="24"/>
          <w:szCs w:val="24"/>
          <w:u w:color="333333"/>
        </w:rPr>
        <w:t xml:space="preserve"> 2026</w:t>
      </w:r>
    </w:p>
    <w:p w14:paraId="1F971701" w14:textId="77777777" w:rsidR="007C0062" w:rsidRPr="00DF75DB" w:rsidRDefault="007C0062" w:rsidP="007C0062"/>
    <w:p w14:paraId="5BAF567F" w14:textId="07DF3C63" w:rsidR="007C0062" w:rsidRPr="007C0062" w:rsidRDefault="001C33A3" w:rsidP="001C33A3">
      <w:pPr>
        <w:ind w:right="-574"/>
        <w:jc w:val="right"/>
      </w:pPr>
      <w:r w:rsidRPr="001C33A3">
        <w:rPr>
          <w:noProof/>
        </w:rPr>
        <w:lastRenderedPageBreak/>
        <w:drawing>
          <wp:inline distT="0" distB="0" distL="0" distR="0" wp14:anchorId="2A3C1CAF" wp14:editId="12EEC0A6">
            <wp:extent cx="4776786" cy="6844003"/>
            <wp:effectExtent l="0" t="0" r="5080" b="0"/>
            <wp:docPr id="206289780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897805" name=""/>
                    <pic:cNvPicPr/>
                  </pic:nvPicPr>
                  <pic:blipFill>
                    <a:blip r:embed="rId6"/>
                    <a:stretch>
                      <a:fillRect/>
                    </a:stretch>
                  </pic:blipFill>
                  <pic:spPr>
                    <a:xfrm>
                      <a:off x="0" y="0"/>
                      <a:ext cx="4788446" cy="6860709"/>
                    </a:xfrm>
                    <a:prstGeom prst="rect">
                      <a:avLst/>
                    </a:prstGeom>
                  </pic:spPr>
                </pic:pic>
              </a:graphicData>
            </a:graphic>
          </wp:inline>
        </w:drawing>
      </w:r>
    </w:p>
    <w:p w14:paraId="4AFBED78" w14:textId="701DD77A" w:rsidR="006F1118" w:rsidRPr="006F1118" w:rsidRDefault="006F1118" w:rsidP="007C0062">
      <w:pPr>
        <w:ind w:right="-574"/>
      </w:pPr>
    </w:p>
    <w:sectPr w:rsidR="006F1118" w:rsidRPr="006F1118">
      <w:headerReference w:type="default" r:id="rId7"/>
      <w:footerReference w:type="default" r:id="rId8"/>
      <w:pgSz w:w="11900" w:h="16840"/>
      <w:pgMar w:top="454" w:right="1134" w:bottom="1134" w:left="1134" w:header="709" w:footer="19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96B60" w14:textId="77777777" w:rsidR="00BC16F7" w:rsidRDefault="00BC16F7">
      <w:r>
        <w:separator/>
      </w:r>
    </w:p>
  </w:endnote>
  <w:endnote w:type="continuationSeparator" w:id="0">
    <w:p w14:paraId="115FF751" w14:textId="77777777" w:rsidR="00BC16F7" w:rsidRDefault="00BC1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rlito">
    <w:altName w:val="Cambria"/>
    <w:charset w:val="00"/>
    <w:family w:val="roman"/>
    <w:pitch w:val="default"/>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3094020"/>
      <w:docPartObj>
        <w:docPartGallery w:val="Page Numbers (Bottom of Page)"/>
        <w:docPartUnique/>
      </w:docPartObj>
    </w:sdtPr>
    <w:sdtContent>
      <w:p w14:paraId="07718A1C" w14:textId="11E9CD04" w:rsidR="00DD488D" w:rsidRDefault="00DD488D">
        <w:pPr>
          <w:pStyle w:val="Pidipagina"/>
          <w:jc w:val="right"/>
        </w:pPr>
        <w:r>
          <w:fldChar w:fldCharType="begin"/>
        </w:r>
        <w:r>
          <w:instrText>PAGE   \* MERGEFORMAT</w:instrText>
        </w:r>
        <w:r>
          <w:fldChar w:fldCharType="separate"/>
        </w:r>
        <w:r>
          <w:t>2</w:t>
        </w:r>
        <w:r>
          <w:fldChar w:fldCharType="end"/>
        </w:r>
      </w:p>
    </w:sdtContent>
  </w:sdt>
  <w:p w14:paraId="4B7722AC" w14:textId="77777777" w:rsidR="00293662" w:rsidRDefault="00293662">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CD041" w14:textId="77777777" w:rsidR="00BC16F7" w:rsidRDefault="00BC16F7">
      <w:r>
        <w:separator/>
      </w:r>
    </w:p>
  </w:footnote>
  <w:footnote w:type="continuationSeparator" w:id="0">
    <w:p w14:paraId="054BAC86" w14:textId="77777777" w:rsidR="00BC16F7" w:rsidRDefault="00BC1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FEAA9" w14:textId="77777777" w:rsidR="00293662" w:rsidRDefault="00000000">
    <w:pPr>
      <w:pStyle w:val="Intestazione"/>
      <w:tabs>
        <w:tab w:val="clear" w:pos="9638"/>
      </w:tabs>
    </w:pPr>
    <w:r>
      <w:rPr>
        <w:noProof/>
      </w:rPr>
      <w:drawing>
        <wp:anchor distT="152400" distB="152400" distL="152400" distR="152400" simplePos="0" relativeHeight="251658240" behindDoc="1" locked="0" layoutInCell="1" allowOverlap="1" wp14:anchorId="533487CD" wp14:editId="214AABDA">
          <wp:simplePos x="0" y="0"/>
          <wp:positionH relativeFrom="page">
            <wp:posOffset>-38099</wp:posOffset>
          </wp:positionH>
          <wp:positionV relativeFrom="page">
            <wp:posOffset>-76834</wp:posOffset>
          </wp:positionV>
          <wp:extent cx="7599045" cy="10744200"/>
          <wp:effectExtent l="0" t="0" r="0" b="0"/>
          <wp:wrapNone/>
          <wp:docPr id="1073741825" name="officeArt object" descr="CI FEDERUNACOMA CS.jpeg"/>
          <wp:cNvGraphicFramePr/>
          <a:graphic xmlns:a="http://schemas.openxmlformats.org/drawingml/2006/main">
            <a:graphicData uri="http://schemas.openxmlformats.org/drawingml/2006/picture">
              <pic:pic xmlns:pic="http://schemas.openxmlformats.org/drawingml/2006/picture">
                <pic:nvPicPr>
                  <pic:cNvPr id="1073741825" name="CI FEDERUNACOMA CS.jpeg" descr="CI FEDERUNACOMA CS.jpeg"/>
                  <pic:cNvPicPr>
                    <a:picLocks noChangeAspect="1"/>
                  </pic:cNvPicPr>
                </pic:nvPicPr>
                <pic:blipFill>
                  <a:blip r:embed="rId1"/>
                  <a:stretch>
                    <a:fillRect/>
                  </a:stretch>
                </pic:blipFill>
                <pic:spPr>
                  <a:xfrm>
                    <a:off x="0" y="0"/>
                    <a:ext cx="7599045" cy="10744200"/>
                  </a:xfrm>
                  <a:prstGeom prst="rect">
                    <a:avLst/>
                  </a:prstGeom>
                  <a:ln w="12700" cap="flat">
                    <a:noFill/>
                    <a:miter lim="400000"/>
                  </a:ln>
                  <a:effectLst/>
                </pic:spPr>
              </pic:pic>
            </a:graphicData>
          </a:graphic>
        </wp:anchor>
      </w:drawing>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662"/>
    <w:rsid w:val="000859E7"/>
    <w:rsid w:val="000B6882"/>
    <w:rsid w:val="00122112"/>
    <w:rsid w:val="00183808"/>
    <w:rsid w:val="001B452D"/>
    <w:rsid w:val="001C08EC"/>
    <w:rsid w:val="001C33A3"/>
    <w:rsid w:val="001C6446"/>
    <w:rsid w:val="002024D6"/>
    <w:rsid w:val="00287C9C"/>
    <w:rsid w:val="00293662"/>
    <w:rsid w:val="002F26B9"/>
    <w:rsid w:val="00340E05"/>
    <w:rsid w:val="00362922"/>
    <w:rsid w:val="003D365C"/>
    <w:rsid w:val="003F7076"/>
    <w:rsid w:val="00452E15"/>
    <w:rsid w:val="00494DF9"/>
    <w:rsid w:val="00522684"/>
    <w:rsid w:val="005B1302"/>
    <w:rsid w:val="005C3E3C"/>
    <w:rsid w:val="0060147B"/>
    <w:rsid w:val="0067217E"/>
    <w:rsid w:val="006913A7"/>
    <w:rsid w:val="00694798"/>
    <w:rsid w:val="006A4771"/>
    <w:rsid w:val="006D2695"/>
    <w:rsid w:val="006F1118"/>
    <w:rsid w:val="007067AA"/>
    <w:rsid w:val="007462DB"/>
    <w:rsid w:val="0075232D"/>
    <w:rsid w:val="007C0062"/>
    <w:rsid w:val="00854774"/>
    <w:rsid w:val="00863177"/>
    <w:rsid w:val="008A6FA2"/>
    <w:rsid w:val="008D294F"/>
    <w:rsid w:val="0093397A"/>
    <w:rsid w:val="00A52CC3"/>
    <w:rsid w:val="00AD3A03"/>
    <w:rsid w:val="00AF07D8"/>
    <w:rsid w:val="00AF566D"/>
    <w:rsid w:val="00AF5C84"/>
    <w:rsid w:val="00BC16F7"/>
    <w:rsid w:val="00BD2C67"/>
    <w:rsid w:val="00BD3111"/>
    <w:rsid w:val="00C00BBF"/>
    <w:rsid w:val="00CF2AE5"/>
    <w:rsid w:val="00CF6D24"/>
    <w:rsid w:val="00D1272B"/>
    <w:rsid w:val="00D41B76"/>
    <w:rsid w:val="00D51FCC"/>
    <w:rsid w:val="00DD488D"/>
    <w:rsid w:val="00DF58FF"/>
    <w:rsid w:val="00DF75DB"/>
    <w:rsid w:val="00E10F5D"/>
    <w:rsid w:val="00ED04ED"/>
    <w:rsid w:val="00ED3116"/>
    <w:rsid w:val="00EE6ED9"/>
    <w:rsid w:val="00F423FC"/>
    <w:rsid w:val="00F5069F"/>
    <w:rsid w:val="00F57DEB"/>
    <w:rsid w:val="00FC35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A5F7A"/>
  <w15:docId w15:val="{9883A9D3-9AF0-9744-871A-35D116E63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eastAsia="Times New Roman"/>
      <w:color w:val="000000"/>
      <w:sz w:val="24"/>
      <w:szCs w:val="24"/>
      <w:u w:color="000000"/>
    </w:rPr>
  </w:style>
  <w:style w:type="paragraph" w:styleId="Titolo1">
    <w:name w:val="heading 1"/>
    <w:next w:val="Normale"/>
    <w:uiPriority w:val="9"/>
    <w:qFormat/>
    <w:pPr>
      <w:keepNext/>
      <w:spacing w:before="240" w:after="60"/>
      <w:outlineLvl w:val="0"/>
    </w:pPr>
    <w:rPr>
      <w:rFonts w:ascii="Carlito" w:hAnsi="Carlito" w:cs="Arial Unicode MS"/>
      <w:b/>
      <w:bCs/>
      <w:color w:val="000000"/>
      <w:kern w:val="32"/>
      <w:sz w:val="32"/>
      <w:szCs w:val="3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cs="Arial Unicode MS"/>
      <w:color w:val="000000"/>
      <w:sz w:val="24"/>
      <w:szCs w:val="24"/>
      <w:u w:color="000000"/>
      <w14:textOutline w14:w="0" w14:cap="flat" w14:cmpd="sng" w14:algn="ctr">
        <w14:noFill/>
        <w14:prstDash w14:val="solid"/>
        <w14:bevel/>
      </w14:textOutline>
    </w:rPr>
  </w:style>
  <w:style w:type="paragraph" w:customStyle="1" w:styleId="Intestazioneepidipagina">
    <w:name w:val="Intestazione e piè di pagina"/>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Pidipagina">
    <w:name w:val="footer"/>
    <w:basedOn w:val="Normale"/>
    <w:link w:val="PidipaginaCarattere"/>
    <w:uiPriority w:val="99"/>
    <w:unhideWhenUsed/>
    <w:rsid w:val="00DD488D"/>
    <w:pPr>
      <w:tabs>
        <w:tab w:val="center" w:pos="4819"/>
        <w:tab w:val="right" w:pos="9638"/>
      </w:tabs>
    </w:pPr>
  </w:style>
  <w:style w:type="character" w:customStyle="1" w:styleId="PidipaginaCarattere">
    <w:name w:val="Piè di pagina Carattere"/>
    <w:basedOn w:val="Carpredefinitoparagrafo"/>
    <w:link w:val="Pidipagina"/>
    <w:uiPriority w:val="99"/>
    <w:rsid w:val="00DD488D"/>
    <w:rPr>
      <w:rFonts w:eastAsia="Times New Roman"/>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190602">
      <w:bodyDiv w:val="1"/>
      <w:marLeft w:val="0"/>
      <w:marRight w:val="0"/>
      <w:marTop w:val="0"/>
      <w:marBottom w:val="0"/>
      <w:divBdr>
        <w:top w:val="none" w:sz="0" w:space="0" w:color="auto"/>
        <w:left w:val="none" w:sz="0" w:space="0" w:color="auto"/>
        <w:bottom w:val="none" w:sz="0" w:space="0" w:color="auto"/>
        <w:right w:val="none" w:sz="0" w:space="0" w:color="auto"/>
      </w:divBdr>
    </w:div>
    <w:div w:id="16258870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2693</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keywords>, docId:482C2A86B3A544E7CA4D092F0B06CCD2</cp:keywords>
  <cp:lastModifiedBy>Patrizia Menicucci</cp:lastModifiedBy>
  <cp:revision>2</cp:revision>
  <dcterms:created xsi:type="dcterms:W3CDTF">2026-06-22T09:48:00Z</dcterms:created>
  <dcterms:modified xsi:type="dcterms:W3CDTF">2026-06-22T09:48:00Z</dcterms:modified>
</cp:coreProperties>
</file>